
<file path=[Content_Types].xml><?xml version="1.0" encoding="utf-8"?>
<Types xmlns="http://schemas.openxmlformats.org/package/2006/content-types">
  <Default ContentType="application/xml" Extension="xml"/>
  <Default ContentType="application/x-font-ttf" Extension="ttf"/>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jc w:val="center"/>
        <w:rPr>
          <w:b w:val="1"/>
          <w:bCs w:val="1"/>
          <w:sz w:val="22"/>
          <w:szCs w:val="22"/>
        </w:rPr>
      </w:pPr>
      <w:bookmarkStart w:colFirst="0" w:colLast="0" w:name="_heading=h.asodny7n2ku8" w:id="0"/>
      <w:bookmarkEnd w:id="0"/>
      <w:r w:rsidDel="00000000" w:rsidR="00000000" w:rsidRPr="00000000">
        <w:rPr>
          <w:b w:val="1"/>
          <w:bCs w:val="1"/>
          <w:sz w:val="22"/>
          <w:szCs w:val="22"/>
          <w:rtl w:val="0"/>
        </w:rPr>
        <w:t xml:space="preserve">Table 5.2 </w:t>
      </w:r>
      <w:r w:rsidDel="00000000" w:rsidR="00000000" w:rsidRPr="00000000">
        <w:rPr>
          <w:sz w:val="22"/>
          <w:szCs w:val="22"/>
          <w:rtl w:val="0"/>
        </w:rPr>
        <w:t xml:space="preserve">Course Syllabus</w:t>
      </w:r>
      <w:r w:rsidDel="00000000" w:rsidR="00000000" w:rsidRPr="00000000">
        <w:rPr>
          <w:rtl w:val="0"/>
        </w:rPr>
      </w:r>
    </w:p>
    <w:p w:rsidR="00000000" w:rsidDel="00000000" w:rsidP="00000000" w:rsidRDefault="00000000" w:rsidRPr="00000000" w14:paraId="00000002">
      <w:pPr>
        <w:jc w:val="center"/>
        <w:rPr>
          <w:sz w:val="22"/>
          <w:szCs w:val="22"/>
        </w:rPr>
      </w:pPr>
      <w:r w:rsidDel="00000000" w:rsidR="00000000" w:rsidRPr="00000000">
        <w:rPr>
          <w:rtl w:val="0"/>
        </w:rPr>
      </w:r>
    </w:p>
    <w:tbl>
      <w:tblPr>
        <w:tblStyle w:val="Table1"/>
        <w:tblW w:w="10490.0" w:type="dxa"/>
        <w:jc w:val="center"/>
        <w:tblBorders>
          <w:top w:color="ffffff" w:space="0" w:sz="8" w:val="single"/>
          <w:left w:color="ffffff" w:space="0" w:sz="8" w:val="single"/>
          <w:bottom w:color="ffffff" w:space="0" w:sz="8" w:val="single"/>
          <w:right w:color="ffffff" w:space="0" w:sz="8" w:val="single"/>
          <w:insideH w:color="ffffff" w:space="0" w:sz="8" w:val="single"/>
          <w:insideV w:color="ffffff" w:space="0" w:sz="8" w:val="single"/>
        </w:tblBorders>
        <w:tblLayout w:type="fixed"/>
        <w:tblLook w:val="0400"/>
      </w:tblPr>
      <w:tblGrid>
        <w:gridCol w:w="4685"/>
        <w:gridCol w:w="1714"/>
        <w:gridCol w:w="858"/>
        <w:gridCol w:w="1276"/>
        <w:gridCol w:w="1957"/>
        <w:tblGridChange w:id="0">
          <w:tblGrid>
            <w:gridCol w:w="4685"/>
            <w:gridCol w:w="1714"/>
            <w:gridCol w:w="858"/>
            <w:gridCol w:w="1276"/>
            <w:gridCol w:w="1957"/>
          </w:tblGrid>
        </w:tblGridChange>
      </w:tblGrid>
      <w:tr>
        <w:trPr>
          <w:cantSplit w:val="0"/>
          <w:trHeight w:val="17" w:hRule="atLeast"/>
          <w:tblHeader w:val="0"/>
        </w:trPr>
        <w:tc>
          <w:tcPr>
            <w:gridSpan w:val="5"/>
            <w:tcBorders>
              <w:top w:color="000000" w:space="0" w:sz="4" w:val="single"/>
              <w:left w:color="000000" w:space="0" w:sz="4" w:val="single"/>
              <w:bottom w:color="000000" w:space="0" w:sz="4" w:val="single"/>
              <w:right w:color="000000" w:space="0" w:sz="4" w:val="single"/>
            </w:tcBorders>
            <w:shd w:fill="f2f2f2" w:val="clear"/>
            <w:tcMar>
              <w:top w:w="0.0" w:type="dxa"/>
              <w:left w:w="80.0" w:type="dxa"/>
              <w:bottom w:w="0.0" w:type="dxa"/>
              <w:right w:w="80.0" w:type="dxa"/>
            </w:tcMar>
            <w:vAlign w:val="center"/>
          </w:tcPr>
          <w:p w:rsidR="00000000" w:rsidDel="00000000" w:rsidP="00000000" w:rsidRDefault="00000000" w:rsidRPr="00000000" w14:paraId="00000003">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567"/>
              </w:tabs>
              <w:spacing w:after="60" w:before="60" w:line="240"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0"/>
                <w:szCs w:val="20"/>
                <w:u w:val="none"/>
                <w:shd w:fill="auto" w:val="clear"/>
                <w:vertAlign w:val="baseline"/>
                <w:rtl w:val="0"/>
              </w:rPr>
              <w:t xml:space="preserve">Study Programme: Economics and Management</w:t>
            </w:r>
            <w:r w:rsidDel="00000000" w:rsidR="00000000" w:rsidRPr="00000000">
              <w:rPr>
                <w:rtl w:val="0"/>
              </w:rPr>
            </w:r>
          </w:p>
        </w:tc>
      </w:tr>
      <w:tr>
        <w:trPr>
          <w:cantSplit w:val="0"/>
          <w:trHeight w:val="17" w:hRule="atLeast"/>
          <w:tblHeader w:val="0"/>
        </w:trPr>
        <w:tc>
          <w:tcPr>
            <w:gridSpan w:val="5"/>
            <w:tcBorders>
              <w:top w:color="000000" w:space="0" w:sz="4" w:val="single"/>
              <w:left w:color="000000" w:space="0" w:sz="4" w:val="single"/>
              <w:bottom w:color="000000" w:space="0" w:sz="4" w:val="single"/>
              <w:right w:color="000000" w:space="0" w:sz="4" w:val="single"/>
            </w:tcBorders>
            <w:shd w:fill="f2f2f2" w:val="clear"/>
            <w:tcMar>
              <w:top w:w="0.0" w:type="dxa"/>
              <w:left w:w="80.0" w:type="dxa"/>
              <w:bottom w:w="0.0" w:type="dxa"/>
              <w:right w:w="80.0" w:type="dxa"/>
            </w:tcMar>
            <w:vAlign w:val="center"/>
          </w:tcPr>
          <w:p w:rsidR="00000000" w:rsidDel="00000000" w:rsidP="00000000" w:rsidRDefault="00000000" w:rsidRPr="00000000" w14:paraId="00000008">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567"/>
              </w:tabs>
              <w:spacing w:after="60" w:before="60" w:line="240" w:lineRule="auto"/>
              <w:ind w:left="0" w:right="0" w:firstLine="0"/>
              <w:jc w:val="left"/>
              <w:rPr>
                <w:rFonts w:ascii="Times New Roman" w:cs="Times New Roman" w:eastAsia="Times New Roman" w:hAnsi="Times New Roman"/>
                <w:b w:val="0"/>
                <w:bCs w:val="0"/>
                <w:i w:val="0"/>
                <w:iCs w:val="0"/>
                <w:smallCaps w:val="0"/>
                <w:strike w:val="0"/>
                <w:sz w:val="20"/>
                <w:szCs w:val="20"/>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0"/>
                <w:szCs w:val="20"/>
                <w:u w:val="none"/>
                <w:shd w:fill="auto" w:val="clear"/>
                <w:vertAlign w:val="baseline"/>
                <w:rtl w:val="0"/>
              </w:rPr>
              <w:t xml:space="preserve">Course Title: </w:t>
            </w:r>
            <w:r w:rsidDel="00000000" w:rsidR="00000000" w:rsidRPr="00000000">
              <w:rPr>
                <w:b w:val="1"/>
                <w:bCs w:val="1"/>
                <w:sz w:val="18"/>
                <w:szCs w:val="18"/>
                <w:rtl w:val="0"/>
              </w:rPr>
              <w:t xml:space="preserve">Green Economy and Social Well-Being</w:t>
            </w:r>
            <w:r w:rsidDel="00000000" w:rsidR="00000000" w:rsidRPr="00000000">
              <w:rPr>
                <w:b w:val="1"/>
                <w:bCs w:val="1"/>
                <w:sz w:val="20"/>
                <w:szCs w:val="20"/>
                <w:rtl w:val="0"/>
              </w:rPr>
              <w:t xml:space="preserve"> </w:t>
            </w:r>
            <w:r w:rsidDel="00000000" w:rsidR="00000000" w:rsidRPr="00000000">
              <w:rPr>
                <w:rtl w:val="0"/>
              </w:rPr>
            </w:r>
          </w:p>
        </w:tc>
      </w:tr>
      <w:tr>
        <w:trPr>
          <w:cantSplit w:val="0"/>
          <w:trHeight w:val="17" w:hRule="atLeast"/>
          <w:tblHeader w:val="0"/>
        </w:trPr>
        <w:tc>
          <w:tcPr>
            <w:gridSpan w:val="5"/>
            <w:tcBorders>
              <w:top w:color="000000" w:space="0" w:sz="4" w:val="single"/>
              <w:left w:color="000000" w:space="0" w:sz="4" w:val="single"/>
              <w:bottom w:color="000000" w:space="0" w:sz="4" w:val="single"/>
              <w:right w:color="000000" w:space="0" w:sz="4" w:val="single"/>
            </w:tcBorders>
            <w:shd w:fill="f2f2f2" w:val="clear"/>
            <w:tcMar>
              <w:top w:w="0.0" w:type="dxa"/>
              <w:left w:w="80.0" w:type="dxa"/>
              <w:bottom w:w="0.0" w:type="dxa"/>
              <w:right w:w="80.0" w:type="dxa"/>
            </w:tcMar>
            <w:vAlign w:val="center"/>
          </w:tcPr>
          <w:p w:rsidR="00000000" w:rsidDel="00000000" w:rsidP="00000000" w:rsidRDefault="00000000" w:rsidRPr="00000000" w14:paraId="0000000D">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567"/>
              </w:tabs>
              <w:spacing w:after="60" w:before="60" w:line="240"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0"/>
                <w:szCs w:val="20"/>
                <w:u w:val="none"/>
                <w:shd w:fill="auto" w:val="clear"/>
                <w:vertAlign w:val="baseline"/>
                <w:rtl w:val="0"/>
              </w:rPr>
              <w:t xml:space="preserve">Lecturer(s): </w:t>
            </w: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Snežana Radukić, PhD; Marija Petrović-Ranđelović, PhD</w:t>
            </w:r>
          </w:p>
        </w:tc>
      </w:tr>
      <w:tr>
        <w:trPr>
          <w:cantSplit w:val="0"/>
          <w:trHeight w:val="17" w:hRule="atLeast"/>
          <w:tblHeader w:val="0"/>
        </w:trPr>
        <w:tc>
          <w:tcPr>
            <w:gridSpan w:val="5"/>
            <w:tcBorders>
              <w:top w:color="000000" w:space="0" w:sz="4" w:val="single"/>
              <w:left w:color="000000" w:space="0" w:sz="4" w:val="single"/>
              <w:bottom w:color="000000" w:space="0" w:sz="4" w:val="single"/>
              <w:right w:color="000000" w:space="0" w:sz="4" w:val="single"/>
            </w:tcBorders>
            <w:shd w:fill="f2f2f2" w:val="clear"/>
            <w:tcMar>
              <w:top w:w="0.0" w:type="dxa"/>
              <w:left w:w="80.0" w:type="dxa"/>
              <w:bottom w:w="0.0" w:type="dxa"/>
              <w:right w:w="80.0" w:type="dxa"/>
            </w:tcMar>
            <w:vAlign w:val="center"/>
          </w:tcPr>
          <w:p w:rsidR="00000000" w:rsidDel="00000000" w:rsidP="00000000" w:rsidRDefault="00000000" w:rsidRPr="00000000" w14:paraId="00000012">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567"/>
              </w:tabs>
              <w:spacing w:after="60" w:before="60" w:line="240"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0"/>
                <w:szCs w:val="20"/>
                <w:u w:val="none"/>
                <w:shd w:fill="auto" w:val="clear"/>
                <w:vertAlign w:val="baseline"/>
                <w:rtl w:val="0"/>
              </w:rPr>
              <w:t xml:space="preserve">Status of the Course:</w:t>
            </w: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 Elective</w:t>
            </w:r>
          </w:p>
        </w:tc>
      </w:tr>
      <w:tr>
        <w:trPr>
          <w:cantSplit w:val="0"/>
          <w:trHeight w:val="17" w:hRule="atLeast"/>
          <w:tblHeader w:val="0"/>
        </w:trPr>
        <w:tc>
          <w:tcPr>
            <w:gridSpan w:val="5"/>
            <w:tcBorders>
              <w:top w:color="000000" w:space="0" w:sz="4" w:val="single"/>
              <w:left w:color="000000" w:space="0" w:sz="4" w:val="single"/>
              <w:bottom w:color="000000" w:space="0" w:sz="4" w:val="single"/>
              <w:right w:color="000000" w:space="0" w:sz="4" w:val="single"/>
            </w:tcBorders>
            <w:shd w:fill="f2f2f2" w:val="clear"/>
            <w:tcMar>
              <w:top w:w="0.0" w:type="dxa"/>
              <w:left w:w="80.0" w:type="dxa"/>
              <w:bottom w:w="0.0" w:type="dxa"/>
              <w:right w:w="80.0" w:type="dxa"/>
            </w:tcMar>
            <w:vAlign w:val="center"/>
          </w:tcPr>
          <w:p w:rsidR="00000000" w:rsidDel="00000000" w:rsidP="00000000" w:rsidRDefault="00000000" w:rsidRPr="00000000" w14:paraId="00000017">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567"/>
              </w:tabs>
              <w:spacing w:after="60" w:before="60" w:line="240"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0"/>
                <w:szCs w:val="20"/>
                <w:u w:val="none"/>
                <w:shd w:fill="auto" w:val="clear"/>
                <w:vertAlign w:val="baseline"/>
                <w:rtl w:val="0"/>
              </w:rPr>
              <w:t xml:space="preserve">Number of ECTS Credits:</w:t>
            </w: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 7</w:t>
            </w:r>
          </w:p>
        </w:tc>
      </w:tr>
      <w:tr>
        <w:trPr>
          <w:cantSplit w:val="0"/>
          <w:trHeight w:val="17" w:hRule="atLeast"/>
          <w:tblHeader w:val="0"/>
        </w:trPr>
        <w:tc>
          <w:tcPr>
            <w:gridSpan w:val="5"/>
            <w:tcBorders>
              <w:top w:color="000000" w:space="0" w:sz="4" w:val="single"/>
              <w:left w:color="000000" w:space="0" w:sz="4" w:val="single"/>
              <w:bottom w:color="000000" w:space="0" w:sz="4" w:val="single"/>
              <w:right w:color="000000" w:space="0" w:sz="4" w:val="single"/>
            </w:tcBorders>
            <w:shd w:fill="f2f2f2" w:val="clear"/>
            <w:tcMar>
              <w:top w:w="0.0" w:type="dxa"/>
              <w:left w:w="80.0" w:type="dxa"/>
              <w:bottom w:w="0.0" w:type="dxa"/>
              <w:right w:w="80.0" w:type="dxa"/>
            </w:tcMar>
            <w:vAlign w:val="center"/>
          </w:tcPr>
          <w:p w:rsidR="00000000" w:rsidDel="00000000" w:rsidP="00000000" w:rsidRDefault="00000000" w:rsidRPr="00000000" w14:paraId="0000001C">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567"/>
              </w:tabs>
              <w:spacing w:after="60" w:before="60" w:line="240"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0"/>
                <w:szCs w:val="20"/>
                <w:u w:val="none"/>
                <w:shd w:fill="auto" w:val="clear"/>
                <w:vertAlign w:val="baseline"/>
                <w:rtl w:val="0"/>
              </w:rPr>
              <w:t xml:space="preserve">Prerequisites:</w:t>
            </w:r>
            <w:r w:rsidDel="00000000" w:rsidR="00000000" w:rsidRPr="00000000">
              <w:rPr>
                <w:rtl w:val="0"/>
              </w:rPr>
            </w:r>
          </w:p>
        </w:tc>
      </w:tr>
      <w:tr>
        <w:trPr>
          <w:cantSplit w:val="0"/>
          <w:trHeight w:val="17" w:hRule="atLeast"/>
          <w:tblHeader w:val="0"/>
        </w:trPr>
        <w:tc>
          <w:tcPr>
            <w:gridSpan w:val="5"/>
            <w:tcBorders>
              <w:top w:color="000000" w:space="0" w:sz="4" w:val="single"/>
              <w:left w:color="000000" w:space="0" w:sz="4" w:val="single"/>
              <w:bottom w:color="000000" w:space="0" w:sz="4" w:val="single"/>
              <w:right w:color="000000" w:space="0" w:sz="4" w:val="single"/>
            </w:tcBorders>
            <w:tcMar>
              <w:top w:w="0.0" w:type="dxa"/>
              <w:left w:w="80.0" w:type="dxa"/>
              <w:bottom w:w="0.0" w:type="dxa"/>
              <w:right w:w="80.0" w:type="dxa"/>
            </w:tcMar>
            <w:vAlign w:val="center"/>
          </w:tcPr>
          <w:p w:rsidR="00000000" w:rsidDel="00000000" w:rsidP="00000000" w:rsidRDefault="00000000" w:rsidRPr="00000000" w14:paraId="00000021">
            <w:pPr>
              <w:tabs>
                <w:tab w:val="left" w:leader="none" w:pos="567"/>
              </w:tabs>
              <w:rPr>
                <w:b w:val="1"/>
                <w:bCs w:val="1"/>
                <w:sz w:val="20"/>
                <w:szCs w:val="20"/>
              </w:rPr>
            </w:pPr>
            <w:r w:rsidDel="00000000" w:rsidR="00000000" w:rsidRPr="00000000">
              <w:rPr>
                <w:b w:val="1"/>
                <w:bCs w:val="1"/>
                <w:sz w:val="20"/>
                <w:szCs w:val="20"/>
                <w:rtl w:val="0"/>
              </w:rPr>
              <w:t xml:space="preserve">Course Objectives</w:t>
            </w:r>
          </w:p>
          <w:p w:rsidR="00000000" w:rsidDel="00000000" w:rsidP="00000000" w:rsidRDefault="00000000" w:rsidRPr="00000000" w14:paraId="00000022">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567"/>
              </w:tabs>
              <w:spacing w:after="60" w:before="60" w:line="240" w:lineRule="auto"/>
              <w:ind w:left="0" w:right="0" w:firstLine="0"/>
              <w:jc w:val="both"/>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The aim of the course is to provide students with a comprehensive understanding of the concept of the green economy in contemporary economic conditions, as well as the main drivers of environmental policy and their impact on changes in the production structure. Special attention is devoted to understanding the contribution of the green economy to improving social well-being through the sustainable use of resources, the reduction of negative environmental impacts, and the creation of long-term development opportunities for the economy and society. The course also aims to enable students to understand the economic implications of reducing greenhouse gas emissions, the development of energy markets and waste management, as well as opportunities for industrial growth in green economy sectors.</w:t>
            </w:r>
          </w:p>
        </w:tc>
      </w:tr>
      <w:tr>
        <w:trPr>
          <w:cantSplit w:val="0"/>
          <w:trHeight w:val="17" w:hRule="atLeast"/>
          <w:tblHeader w:val="0"/>
        </w:trPr>
        <w:tc>
          <w:tcPr>
            <w:gridSpan w:val="5"/>
            <w:tcBorders>
              <w:top w:color="000000" w:space="0" w:sz="4" w:val="single"/>
              <w:left w:color="000000" w:space="0" w:sz="4" w:val="single"/>
              <w:bottom w:color="000000" w:space="0" w:sz="4" w:val="single"/>
              <w:right w:color="000000" w:space="0" w:sz="4" w:val="single"/>
            </w:tcBorders>
            <w:tcMar>
              <w:top w:w="0.0" w:type="dxa"/>
              <w:left w:w="80.0" w:type="dxa"/>
              <w:bottom w:w="0.0" w:type="dxa"/>
              <w:right w:w="80.0" w:type="dxa"/>
            </w:tcMar>
            <w:vAlign w:val="center"/>
          </w:tcPr>
          <w:p w:rsidR="00000000" w:rsidDel="00000000" w:rsidP="00000000" w:rsidRDefault="00000000" w:rsidRPr="00000000" w14:paraId="00000027">
            <w:pPr>
              <w:tabs>
                <w:tab w:val="left" w:leader="none" w:pos="567"/>
              </w:tabs>
              <w:spacing w:after="60" w:before="60" w:lineRule="auto"/>
              <w:rPr>
                <w:b w:val="1"/>
                <w:bCs w:val="1"/>
                <w:sz w:val="20"/>
                <w:szCs w:val="20"/>
              </w:rPr>
            </w:pPr>
            <w:r w:rsidDel="00000000" w:rsidR="00000000" w:rsidRPr="00000000">
              <w:rPr>
                <w:b w:val="1"/>
                <w:bCs w:val="1"/>
                <w:sz w:val="20"/>
                <w:szCs w:val="20"/>
                <w:rtl w:val="0"/>
              </w:rPr>
              <w:t xml:space="preserve">Learning Outcomes</w:t>
            </w:r>
          </w:p>
          <w:p w:rsidR="00000000" w:rsidDel="00000000" w:rsidP="00000000" w:rsidRDefault="00000000" w:rsidRPr="00000000" w14:paraId="00000028">
            <w:pPr>
              <w:pBdr>
                <w:top w:color="000000" w:space="0" w:sz="0" w:val="none"/>
                <w:left w:color="000000" w:space="0" w:sz="0" w:val="none"/>
                <w:bottom w:color="000000" w:space="0" w:sz="0" w:val="none"/>
                <w:right w:color="000000" w:space="0" w:sz="0" w:val="none"/>
                <w:between w:color="000000" w:space="0" w:sz="0" w:val="none"/>
              </w:pBdr>
              <w:spacing w:after="60" w:before="60" w:lineRule="auto"/>
              <w:jc w:val="both"/>
              <w:rPr>
                <w:sz w:val="20"/>
                <w:szCs w:val="20"/>
              </w:rPr>
            </w:pPr>
            <w:r w:rsidDel="00000000" w:rsidR="00000000" w:rsidRPr="00000000">
              <w:rPr>
                <w:sz w:val="20"/>
                <w:szCs w:val="20"/>
                <w:rtl w:val="0"/>
              </w:rPr>
              <w:t xml:space="preserve">Upon completion of the course, students acquire the following knowledge, skills, and competencies:</w:t>
            </w:r>
          </w:p>
          <w:p w:rsidR="00000000" w:rsidDel="00000000" w:rsidP="00000000" w:rsidRDefault="00000000" w:rsidRPr="00000000" w14:paraId="00000029">
            <w:pPr>
              <w:pBdr>
                <w:top w:color="000000" w:space="0" w:sz="0" w:val="none"/>
                <w:left w:color="000000" w:space="0" w:sz="0" w:val="none"/>
                <w:bottom w:color="000000" w:space="0" w:sz="0" w:val="none"/>
                <w:right w:color="000000" w:space="0" w:sz="0" w:val="none"/>
                <w:between w:color="000000" w:space="0" w:sz="0" w:val="none"/>
              </w:pBdr>
              <w:spacing w:after="60" w:before="60" w:lineRule="auto"/>
              <w:jc w:val="both"/>
              <w:rPr>
                <w:b w:val="1"/>
                <w:bCs w:val="1"/>
                <w:sz w:val="20"/>
                <w:szCs w:val="20"/>
              </w:rPr>
            </w:pPr>
            <w:r w:rsidDel="00000000" w:rsidR="00000000" w:rsidRPr="00000000">
              <w:rPr>
                <w:b w:val="1"/>
                <w:bCs w:val="1"/>
                <w:sz w:val="20"/>
                <w:szCs w:val="20"/>
                <w:rtl w:val="0"/>
              </w:rPr>
              <w:t xml:space="preserve">О1. Knowledge and understanding</w:t>
            </w:r>
          </w:p>
          <w:p w:rsidR="00000000" w:rsidDel="00000000" w:rsidP="00000000" w:rsidRDefault="00000000" w:rsidRPr="00000000" w14:paraId="0000002A">
            <w:pPr>
              <w:pBdr>
                <w:top w:color="000000" w:space="0" w:sz="0" w:val="none"/>
                <w:left w:color="000000" w:space="0" w:sz="0" w:val="none"/>
                <w:bottom w:color="000000" w:space="0" w:sz="0" w:val="none"/>
                <w:right w:color="000000" w:space="0" w:sz="0" w:val="none"/>
                <w:between w:color="000000" w:space="0" w:sz="0" w:val="none"/>
              </w:pBdr>
              <w:spacing w:after="60" w:before="60" w:lineRule="auto"/>
              <w:jc w:val="both"/>
              <w:rPr>
                <w:sz w:val="20"/>
                <w:szCs w:val="20"/>
              </w:rPr>
            </w:pPr>
            <w:r w:rsidDel="00000000" w:rsidR="00000000" w:rsidRPr="00000000">
              <w:rPr>
                <w:sz w:val="20"/>
                <w:szCs w:val="20"/>
                <w:rtl w:val="0"/>
              </w:rPr>
              <w:t xml:space="preserve">Students will acquire knowledge of the concept of the green economy and its role in contemporary economic development, as well as the main drivers of environmental policy and their impact on changes in production and consumption patterns, as well as the creation of markets for green products and services. They will also understand the key principles of sustainable development, climate change mitigation policies, the development of the circular economy, and the importance of efficient use of natural resources for achieving sustainable economic development and improving social well-being.</w:t>
            </w:r>
          </w:p>
          <w:p w:rsidR="00000000" w:rsidDel="00000000" w:rsidP="00000000" w:rsidRDefault="00000000" w:rsidRPr="00000000" w14:paraId="0000002B">
            <w:pPr>
              <w:pBdr>
                <w:top w:color="000000" w:space="0" w:sz="0" w:val="none"/>
                <w:left w:color="000000" w:space="0" w:sz="0" w:val="none"/>
                <w:bottom w:color="000000" w:space="0" w:sz="0" w:val="none"/>
                <w:right w:color="000000" w:space="0" w:sz="0" w:val="none"/>
                <w:between w:color="000000" w:space="0" w:sz="0" w:val="none"/>
              </w:pBdr>
              <w:spacing w:after="60" w:before="60" w:lineRule="auto"/>
              <w:jc w:val="both"/>
              <w:rPr>
                <w:b w:val="1"/>
                <w:bCs w:val="1"/>
                <w:sz w:val="20"/>
                <w:szCs w:val="20"/>
              </w:rPr>
            </w:pPr>
            <w:r w:rsidDel="00000000" w:rsidR="00000000" w:rsidRPr="00000000">
              <w:rPr>
                <w:b w:val="1"/>
                <w:bCs w:val="1"/>
                <w:sz w:val="20"/>
                <w:szCs w:val="20"/>
                <w:rtl w:val="0"/>
              </w:rPr>
              <w:t xml:space="preserve">О2. Application of knowledge and understanding</w:t>
            </w:r>
          </w:p>
          <w:p w:rsidR="00000000" w:rsidDel="00000000" w:rsidP="00000000" w:rsidRDefault="00000000" w:rsidRPr="00000000" w14:paraId="0000002C">
            <w:pPr>
              <w:pBdr>
                <w:top w:color="000000" w:space="0" w:sz="0" w:val="none"/>
                <w:left w:color="000000" w:space="0" w:sz="0" w:val="none"/>
                <w:bottom w:color="000000" w:space="0" w:sz="0" w:val="none"/>
                <w:right w:color="000000" w:space="0" w:sz="0" w:val="none"/>
                <w:between w:color="000000" w:space="0" w:sz="0" w:val="none"/>
              </w:pBdr>
              <w:spacing w:after="60" w:before="60" w:lineRule="auto"/>
              <w:jc w:val="both"/>
              <w:rPr>
                <w:sz w:val="20"/>
                <w:szCs w:val="20"/>
              </w:rPr>
            </w:pPr>
            <w:r w:rsidDel="00000000" w:rsidR="00000000" w:rsidRPr="00000000">
              <w:rPr>
                <w:sz w:val="20"/>
                <w:szCs w:val="20"/>
                <w:rtl w:val="0"/>
              </w:rPr>
              <w:t xml:space="preserve">Students will be trained to apply economic and industrial analytical approaches in assessing the effects of environmental protection policies. They will also be able to analyze measures for reducing greenhouse gas emissions, changes in energy markets in the context of reducing the use of fossil fuels and increasing the use of renewable energy sources, as well as to assess the impact of resource and waste management policies on economic sectors and social well-being.</w:t>
            </w:r>
          </w:p>
          <w:p w:rsidR="00000000" w:rsidDel="00000000" w:rsidP="00000000" w:rsidRDefault="00000000" w:rsidRPr="00000000" w14:paraId="0000002D">
            <w:pPr>
              <w:pBdr>
                <w:top w:color="000000" w:space="0" w:sz="0" w:val="none"/>
                <w:left w:color="000000" w:space="0" w:sz="0" w:val="none"/>
                <w:bottom w:color="000000" w:space="0" w:sz="0" w:val="none"/>
                <w:right w:color="000000" w:space="0" w:sz="0" w:val="none"/>
                <w:between w:color="000000" w:space="0" w:sz="0" w:val="none"/>
              </w:pBdr>
              <w:spacing w:after="60" w:before="60" w:lineRule="auto"/>
              <w:jc w:val="both"/>
              <w:rPr>
                <w:b w:val="1"/>
                <w:bCs w:val="1"/>
                <w:sz w:val="20"/>
                <w:szCs w:val="20"/>
              </w:rPr>
            </w:pPr>
            <w:r w:rsidDel="00000000" w:rsidR="00000000" w:rsidRPr="00000000">
              <w:rPr>
                <w:b w:val="1"/>
                <w:bCs w:val="1"/>
                <w:sz w:val="20"/>
                <w:szCs w:val="20"/>
                <w:rtl w:val="0"/>
              </w:rPr>
              <w:t xml:space="preserve">О3. Making judgments</w:t>
            </w:r>
          </w:p>
          <w:p w:rsidR="00000000" w:rsidDel="00000000" w:rsidP="00000000" w:rsidRDefault="00000000" w:rsidRPr="00000000" w14:paraId="0000002E">
            <w:pPr>
              <w:pBdr>
                <w:top w:color="000000" w:space="0" w:sz="0" w:val="none"/>
                <w:left w:color="000000" w:space="0" w:sz="0" w:val="none"/>
                <w:bottom w:color="000000" w:space="0" w:sz="0" w:val="none"/>
                <w:right w:color="000000" w:space="0" w:sz="0" w:val="none"/>
                <w:between w:color="000000" w:space="0" w:sz="0" w:val="none"/>
              </w:pBdr>
              <w:spacing w:after="60" w:before="60" w:lineRule="auto"/>
              <w:jc w:val="both"/>
              <w:rPr>
                <w:sz w:val="20"/>
                <w:szCs w:val="20"/>
              </w:rPr>
            </w:pPr>
            <w:r w:rsidDel="00000000" w:rsidR="00000000" w:rsidRPr="00000000">
              <w:rPr>
                <w:sz w:val="20"/>
                <w:szCs w:val="20"/>
                <w:rtl w:val="0"/>
              </w:rPr>
              <w:t xml:space="preserve">Students will develop the ability to critically analyze the benefits and potential risks of green economy policies, particularly in terms of their relationship with industrial competitiveness, sustainable development, and quality of life. They will also be trained to evaluate the effectiveness of economic and industrial policy instruments aimed at achieving sustainability goals and improving social well-being.</w:t>
            </w:r>
          </w:p>
          <w:p w:rsidR="00000000" w:rsidDel="00000000" w:rsidP="00000000" w:rsidRDefault="00000000" w:rsidRPr="00000000" w14:paraId="0000002F">
            <w:pPr>
              <w:pBdr>
                <w:top w:color="000000" w:space="0" w:sz="0" w:val="none"/>
                <w:left w:color="000000" w:space="0" w:sz="0" w:val="none"/>
                <w:bottom w:color="000000" w:space="0" w:sz="0" w:val="none"/>
                <w:right w:color="000000" w:space="0" w:sz="0" w:val="none"/>
                <w:between w:color="000000" w:space="0" w:sz="0" w:val="none"/>
              </w:pBdr>
              <w:spacing w:after="60" w:before="60" w:lineRule="auto"/>
              <w:jc w:val="both"/>
              <w:rPr>
                <w:b w:val="1"/>
                <w:bCs w:val="1"/>
                <w:sz w:val="20"/>
                <w:szCs w:val="20"/>
              </w:rPr>
            </w:pPr>
            <w:r w:rsidDel="00000000" w:rsidR="00000000" w:rsidRPr="00000000">
              <w:rPr>
                <w:b w:val="1"/>
                <w:bCs w:val="1"/>
                <w:sz w:val="20"/>
                <w:szCs w:val="20"/>
                <w:rtl w:val="0"/>
              </w:rPr>
              <w:t xml:space="preserve">О4. Communication skills</w:t>
            </w:r>
          </w:p>
          <w:p w:rsidR="00000000" w:rsidDel="00000000" w:rsidP="00000000" w:rsidRDefault="00000000" w:rsidRPr="00000000" w14:paraId="00000030">
            <w:pPr>
              <w:pBdr>
                <w:top w:color="000000" w:space="0" w:sz="0" w:val="none"/>
                <w:left w:color="000000" w:space="0" w:sz="0" w:val="none"/>
                <w:bottom w:color="000000" w:space="0" w:sz="0" w:val="none"/>
                <w:right w:color="000000" w:space="0" w:sz="0" w:val="none"/>
                <w:between w:color="000000" w:space="0" w:sz="0" w:val="none"/>
              </w:pBdr>
              <w:spacing w:after="60" w:before="60" w:lineRule="auto"/>
              <w:jc w:val="both"/>
              <w:rPr>
                <w:sz w:val="20"/>
                <w:szCs w:val="20"/>
              </w:rPr>
            </w:pPr>
            <w:r w:rsidDel="00000000" w:rsidR="00000000" w:rsidRPr="00000000">
              <w:rPr>
                <w:sz w:val="20"/>
                <w:szCs w:val="20"/>
                <w:rtl w:val="0"/>
              </w:rPr>
              <w:t xml:space="preserve">Students will develop the ability to clearly and argumentatively present the results of analyses of green economy and sustainable development policies, as well as the skills to participate in professional discussions on the economic, environmental, and social implications of the green transition.</w:t>
            </w:r>
          </w:p>
          <w:p w:rsidR="00000000" w:rsidDel="00000000" w:rsidP="00000000" w:rsidRDefault="00000000" w:rsidRPr="00000000" w14:paraId="00000031">
            <w:pPr>
              <w:pBdr>
                <w:top w:color="000000" w:space="0" w:sz="0" w:val="none"/>
                <w:left w:color="000000" w:space="0" w:sz="0" w:val="none"/>
                <w:bottom w:color="000000" w:space="0" w:sz="0" w:val="none"/>
                <w:right w:color="000000" w:space="0" w:sz="0" w:val="none"/>
                <w:between w:color="000000" w:space="0" w:sz="0" w:val="none"/>
              </w:pBdr>
              <w:spacing w:after="60" w:before="60" w:lineRule="auto"/>
              <w:jc w:val="both"/>
              <w:rPr>
                <w:b w:val="1"/>
                <w:bCs w:val="1"/>
                <w:sz w:val="20"/>
                <w:szCs w:val="20"/>
              </w:rPr>
            </w:pPr>
            <w:r w:rsidDel="00000000" w:rsidR="00000000" w:rsidRPr="00000000">
              <w:rPr>
                <w:b w:val="1"/>
                <w:bCs w:val="1"/>
                <w:sz w:val="20"/>
                <w:szCs w:val="20"/>
                <w:rtl w:val="0"/>
              </w:rPr>
              <w:t xml:space="preserve">О5. Learning skills</w:t>
            </w:r>
          </w:p>
          <w:p w:rsidR="00000000" w:rsidDel="00000000" w:rsidP="00000000" w:rsidRDefault="00000000" w:rsidRPr="00000000" w14:paraId="00000032">
            <w:pPr>
              <w:tabs>
                <w:tab w:val="left" w:leader="none" w:pos="567"/>
              </w:tabs>
              <w:spacing w:after="60" w:before="60" w:lineRule="auto"/>
              <w:jc w:val="both"/>
              <w:rPr>
                <w:sz w:val="20"/>
                <w:szCs w:val="20"/>
              </w:rPr>
            </w:pPr>
            <w:r w:rsidDel="00000000" w:rsidR="00000000" w:rsidRPr="00000000">
              <w:rPr>
                <w:sz w:val="20"/>
                <w:szCs w:val="20"/>
                <w:rtl w:val="0"/>
              </w:rPr>
              <w:t xml:space="preserve">Students will develop methodological and analytical skills for independent research on topics related to the green economy, the analysis of energy and resource markets, as well as the assessment of the impact of sustainable development policies on the economy and social well-being.</w:t>
            </w:r>
          </w:p>
        </w:tc>
      </w:tr>
      <w:tr>
        <w:trPr>
          <w:cantSplit w:val="0"/>
          <w:trHeight w:val="17" w:hRule="atLeast"/>
          <w:tblHeader w:val="0"/>
        </w:trPr>
        <w:tc>
          <w:tcPr>
            <w:gridSpan w:val="5"/>
            <w:tcBorders>
              <w:top w:color="000000" w:space="0" w:sz="4" w:val="single"/>
              <w:left w:color="000000" w:space="0" w:sz="4" w:val="single"/>
              <w:bottom w:color="000000" w:space="0" w:sz="4" w:val="single"/>
              <w:right w:color="000000" w:space="0" w:sz="4" w:val="single"/>
            </w:tcBorders>
            <w:tcMar>
              <w:top w:w="0.0" w:type="dxa"/>
              <w:left w:w="80.0" w:type="dxa"/>
              <w:bottom w:w="0.0" w:type="dxa"/>
              <w:right w:w="80.0" w:type="dxa"/>
            </w:tcMar>
            <w:vAlign w:val="center"/>
          </w:tcPr>
          <w:p w:rsidR="00000000" w:rsidDel="00000000" w:rsidP="00000000" w:rsidRDefault="00000000" w:rsidRPr="00000000" w14:paraId="00000037">
            <w:pPr>
              <w:tabs>
                <w:tab w:val="left" w:leader="none" w:pos="567"/>
              </w:tabs>
              <w:spacing w:after="60" w:before="60" w:lineRule="auto"/>
              <w:rPr>
                <w:b w:val="1"/>
                <w:bCs w:val="1"/>
                <w:sz w:val="20"/>
                <w:szCs w:val="20"/>
              </w:rPr>
            </w:pPr>
            <w:r w:rsidDel="00000000" w:rsidR="00000000" w:rsidRPr="00000000">
              <w:rPr>
                <w:b w:val="1"/>
                <w:bCs w:val="1"/>
                <w:sz w:val="20"/>
                <w:szCs w:val="20"/>
                <w:rtl w:val="0"/>
              </w:rPr>
              <w:t xml:space="preserve">Course Content</w:t>
            </w:r>
          </w:p>
          <w:p w:rsidR="00000000" w:rsidDel="00000000" w:rsidP="00000000" w:rsidRDefault="00000000" w:rsidRPr="00000000" w14:paraId="00000038">
            <w:pPr>
              <w:tabs>
                <w:tab w:val="left" w:leader="none" w:pos="567"/>
              </w:tabs>
              <w:spacing w:after="60" w:before="60" w:lineRule="auto"/>
              <w:rPr>
                <w:i w:val="1"/>
                <w:iCs w:val="1"/>
                <w:sz w:val="20"/>
                <w:szCs w:val="20"/>
              </w:rPr>
            </w:pPr>
            <w:r w:rsidDel="00000000" w:rsidR="00000000" w:rsidRPr="00000000">
              <w:rPr>
                <w:i w:val="1"/>
                <w:iCs w:val="1"/>
                <w:sz w:val="20"/>
                <w:szCs w:val="20"/>
                <w:rtl w:val="0"/>
              </w:rPr>
              <w:t xml:space="preserve">Theoretical Classes</w:t>
            </w:r>
          </w:p>
          <w:p w:rsidR="00000000" w:rsidDel="00000000" w:rsidP="00000000" w:rsidRDefault="00000000" w:rsidRPr="00000000" w14:paraId="00000039">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tabs>
                <w:tab w:val="left" w:leader="none" w:pos="567"/>
              </w:tabs>
              <w:spacing w:after="60" w:before="60" w:line="240" w:lineRule="auto"/>
              <w:ind w:left="360" w:right="0" w:hanging="360"/>
              <w:jc w:val="both"/>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Introduction to the green economy</w:t>
            </w:r>
          </w:p>
          <w:p w:rsidR="00000000" w:rsidDel="00000000" w:rsidP="00000000" w:rsidRDefault="00000000" w:rsidRPr="00000000" w14:paraId="0000003A">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tabs>
                <w:tab w:val="left" w:leader="none" w:pos="567"/>
              </w:tabs>
              <w:spacing w:after="60" w:before="60" w:line="240" w:lineRule="auto"/>
              <w:ind w:left="360" w:right="0" w:hanging="360"/>
              <w:jc w:val="both"/>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Green economy and sustainable development</w:t>
            </w:r>
          </w:p>
          <w:p w:rsidR="00000000" w:rsidDel="00000000" w:rsidP="00000000" w:rsidRDefault="00000000" w:rsidRPr="00000000" w14:paraId="0000003B">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tabs>
                <w:tab w:val="left" w:leader="none" w:pos="567"/>
              </w:tabs>
              <w:spacing w:after="60" w:before="60" w:line="240" w:lineRule="auto"/>
              <w:ind w:left="360" w:right="0" w:hanging="360"/>
              <w:jc w:val="both"/>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Drivers and goals of environmental policy</w:t>
            </w:r>
          </w:p>
          <w:p w:rsidR="00000000" w:rsidDel="00000000" w:rsidP="00000000" w:rsidRDefault="00000000" w:rsidRPr="00000000" w14:paraId="0000003C">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tabs>
                <w:tab w:val="left" w:leader="none" w:pos="567"/>
              </w:tabs>
              <w:spacing w:after="60" w:before="60" w:line="240" w:lineRule="auto"/>
              <w:ind w:left="360" w:right="0" w:hanging="360"/>
              <w:jc w:val="both"/>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Climate change mitigation policies</w:t>
            </w:r>
          </w:p>
          <w:p w:rsidR="00000000" w:rsidDel="00000000" w:rsidP="00000000" w:rsidRDefault="00000000" w:rsidRPr="00000000" w14:paraId="0000003D">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tabs>
                <w:tab w:val="left" w:leader="none" w:pos="567"/>
              </w:tabs>
              <w:spacing w:after="60" w:before="60" w:line="240" w:lineRule="auto"/>
              <w:ind w:left="360" w:right="0" w:hanging="360"/>
              <w:jc w:val="both"/>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Circular economy and resource management</w:t>
            </w:r>
          </w:p>
          <w:p w:rsidR="00000000" w:rsidDel="00000000" w:rsidP="00000000" w:rsidRDefault="00000000" w:rsidRPr="00000000" w14:paraId="0000003E">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tabs>
                <w:tab w:val="left" w:leader="none" w:pos="567"/>
              </w:tabs>
              <w:spacing w:after="60" w:before="60" w:line="240" w:lineRule="auto"/>
              <w:ind w:left="360" w:right="0" w:hanging="360"/>
              <w:jc w:val="both"/>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Efficient use of natural resources and renewable energy sources</w:t>
            </w:r>
          </w:p>
          <w:p w:rsidR="00000000" w:rsidDel="00000000" w:rsidP="00000000" w:rsidRDefault="00000000" w:rsidRPr="00000000" w14:paraId="0000003F">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tabs>
                <w:tab w:val="left" w:leader="none" w:pos="567"/>
              </w:tabs>
              <w:spacing w:after="60" w:before="60" w:line="240" w:lineRule="auto"/>
              <w:ind w:left="360" w:right="0" w:hanging="360"/>
              <w:jc w:val="both"/>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Green transition in developed and developing countries</w:t>
            </w:r>
          </w:p>
          <w:p w:rsidR="00000000" w:rsidDel="00000000" w:rsidP="00000000" w:rsidRDefault="00000000" w:rsidRPr="00000000" w14:paraId="00000040">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tabs>
                <w:tab w:val="left" w:leader="none" w:pos="567"/>
              </w:tabs>
              <w:spacing w:after="60" w:before="60" w:line="240" w:lineRule="auto"/>
              <w:ind w:left="360" w:right="0" w:hanging="360"/>
              <w:jc w:val="both"/>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The role of the state in the development of the green economy</w:t>
            </w:r>
          </w:p>
          <w:p w:rsidR="00000000" w:rsidDel="00000000" w:rsidP="00000000" w:rsidRDefault="00000000" w:rsidRPr="00000000" w14:paraId="00000041">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tabs>
                <w:tab w:val="left" w:leader="none" w:pos="567"/>
              </w:tabs>
              <w:spacing w:after="60" w:before="60" w:line="240" w:lineRule="auto"/>
              <w:ind w:left="360" w:right="0" w:hanging="360"/>
              <w:jc w:val="both"/>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Pareto efficiency and social well-being</w:t>
            </w:r>
          </w:p>
          <w:p w:rsidR="00000000" w:rsidDel="00000000" w:rsidP="00000000" w:rsidRDefault="00000000" w:rsidRPr="00000000" w14:paraId="00000042">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tabs>
                <w:tab w:val="left" w:leader="none" w:pos="567"/>
              </w:tabs>
              <w:spacing w:after="60" w:before="60" w:line="240" w:lineRule="auto"/>
              <w:ind w:left="360" w:right="0" w:hanging="360"/>
              <w:jc w:val="both"/>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Green investments and the market for green products and services</w:t>
            </w:r>
          </w:p>
          <w:p w:rsidR="00000000" w:rsidDel="00000000" w:rsidP="00000000" w:rsidRDefault="00000000" w:rsidRPr="00000000" w14:paraId="00000043">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tabs>
                <w:tab w:val="left" w:leader="none" w:pos="567"/>
              </w:tabs>
              <w:spacing w:after="60" w:before="60" w:line="240" w:lineRule="auto"/>
              <w:ind w:left="360" w:right="0" w:hanging="360"/>
              <w:jc w:val="both"/>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Transformation of production and consumption models</w:t>
            </w:r>
          </w:p>
          <w:p w:rsidR="00000000" w:rsidDel="00000000" w:rsidP="00000000" w:rsidRDefault="00000000" w:rsidRPr="00000000" w14:paraId="00000044">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tabs>
                <w:tab w:val="left" w:leader="none" w:pos="450"/>
              </w:tabs>
              <w:spacing w:after="60" w:before="60" w:line="240" w:lineRule="auto"/>
              <w:ind w:left="450" w:right="0" w:hanging="360"/>
              <w:jc w:val="both"/>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Market instruments to support the green economy</w:t>
            </w:r>
          </w:p>
          <w:p w:rsidR="00000000" w:rsidDel="00000000" w:rsidP="00000000" w:rsidRDefault="00000000" w:rsidRPr="00000000" w14:paraId="00000045">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tabs>
                <w:tab w:val="left" w:leader="none" w:pos="450"/>
              </w:tabs>
              <w:spacing w:after="60" w:before="60" w:line="240" w:lineRule="auto"/>
              <w:ind w:left="450" w:right="0" w:hanging="360"/>
              <w:jc w:val="both"/>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Industrial competitiveness and the green economy</w:t>
            </w:r>
          </w:p>
          <w:p w:rsidR="00000000" w:rsidDel="00000000" w:rsidP="00000000" w:rsidRDefault="00000000" w:rsidRPr="00000000" w14:paraId="00000046">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tabs>
                <w:tab w:val="left" w:leader="none" w:pos="450"/>
              </w:tabs>
              <w:spacing w:after="60" w:before="60" w:line="240" w:lineRule="auto"/>
              <w:ind w:left="450" w:right="0" w:hanging="360"/>
              <w:jc w:val="both"/>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Case studies: green economy in practice</w:t>
            </w:r>
          </w:p>
          <w:p w:rsidR="00000000" w:rsidDel="00000000" w:rsidP="00000000" w:rsidRDefault="00000000" w:rsidRPr="00000000" w14:paraId="00000047">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tabs>
                <w:tab w:val="left" w:leader="none" w:pos="450"/>
              </w:tabs>
              <w:spacing w:after="60" w:before="60" w:line="240" w:lineRule="auto"/>
              <w:ind w:left="450" w:right="0" w:hanging="360"/>
              <w:jc w:val="both"/>
              <w:rPr>
                <w:rFonts w:ascii="Calibri" w:cs="Calibri" w:eastAsia="Calibri" w:hAnsi="Calibri"/>
                <w:b w:val="0"/>
                <w:bCs w:val="0"/>
                <w:i w:val="0"/>
                <w:iCs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Green economy as a factor in improving social well-being</w:t>
            </w:r>
            <w:r w:rsidDel="00000000" w:rsidR="00000000" w:rsidRPr="00000000">
              <w:rPr>
                <w:rtl w:val="0"/>
              </w:rPr>
            </w:r>
          </w:p>
          <w:p w:rsidR="00000000" w:rsidDel="00000000" w:rsidP="00000000" w:rsidRDefault="00000000" w:rsidRPr="00000000" w14:paraId="00000048">
            <w:pPr>
              <w:tabs>
                <w:tab w:val="left" w:leader="none" w:pos="567"/>
              </w:tabs>
              <w:spacing w:after="60" w:before="60" w:lineRule="auto"/>
              <w:jc w:val="both"/>
              <w:rPr>
                <w:i w:val="1"/>
                <w:iCs w:val="1"/>
                <w:sz w:val="20"/>
                <w:szCs w:val="20"/>
              </w:rPr>
            </w:pPr>
            <w:r w:rsidDel="00000000" w:rsidR="00000000" w:rsidRPr="00000000">
              <w:rPr>
                <w:i w:val="1"/>
                <w:iCs w:val="1"/>
                <w:sz w:val="20"/>
                <w:szCs w:val="20"/>
                <w:rtl w:val="0"/>
              </w:rPr>
              <w:t xml:space="preserve">Practical Classes - Tutorials</w:t>
            </w:r>
          </w:p>
          <w:p w:rsidR="00000000" w:rsidDel="00000000" w:rsidP="00000000" w:rsidRDefault="00000000" w:rsidRPr="00000000" w14:paraId="00000049">
            <w:pPr>
              <w:keepNext w:val="0"/>
              <w:keepLines w:val="0"/>
              <w:pageBreakBefore w:val="0"/>
              <w:widowControl w:val="1"/>
              <w:pBdr>
                <w:top w:color="000000" w:space="0" w:sz="0" w:val="none"/>
                <w:left w:color="000000" w:space="0" w:sz="0" w:val="none"/>
                <w:bottom w:color="000000" w:space="0" w:sz="0" w:val="none"/>
                <w:right w:color="000000" w:space="0" w:sz="0" w:val="none"/>
                <w:between w:color="000000" w:space="0" w:sz="0" w:val="none"/>
              </w:pBdr>
              <w:shd w:fill="auto" w:val="clear"/>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Practical teaching focuses on the application of theoretical knowledge through activities that develop students’ analytical, communication, and research skills. The activities include: (1) </w:t>
            </w:r>
            <w:r w:rsidDel="00000000" w:rsidR="00000000" w:rsidRPr="00000000">
              <w:rPr>
                <w:rFonts w:ascii="Times New Roman" w:cs="Times New Roman" w:eastAsia="Times New Roman" w:hAnsi="Times New Roman"/>
                <w:b w:val="1"/>
                <w:bCs w:val="1"/>
                <w:i w:val="0"/>
                <w:iCs w:val="0"/>
                <w:smallCaps w:val="0"/>
                <w:strike w:val="0"/>
                <w:color w:val="000000"/>
                <w:sz w:val="20"/>
                <w:szCs w:val="20"/>
                <w:u w:val="none"/>
                <w:shd w:fill="auto" w:val="clear"/>
                <w:vertAlign w:val="baseline"/>
                <w:rtl w:val="0"/>
              </w:rPr>
              <w:t xml:space="preserve">group work</w:t>
            </w: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 on the analysis of economic and industrial policies in the context of the green economy; (2) </w:t>
            </w:r>
            <w:r w:rsidDel="00000000" w:rsidR="00000000" w:rsidRPr="00000000">
              <w:rPr>
                <w:rFonts w:ascii="Times New Roman" w:cs="Times New Roman" w:eastAsia="Times New Roman" w:hAnsi="Times New Roman"/>
                <w:b w:val="1"/>
                <w:bCs w:val="1"/>
                <w:i w:val="0"/>
                <w:iCs w:val="0"/>
                <w:smallCaps w:val="0"/>
                <w:strike w:val="0"/>
                <w:color w:val="000000"/>
                <w:sz w:val="20"/>
                <w:szCs w:val="20"/>
                <w:u w:val="none"/>
                <w:shd w:fill="auto" w:val="clear"/>
                <w:vertAlign w:val="baseline"/>
                <w:rtl w:val="0"/>
              </w:rPr>
              <w:t xml:space="preserve">simulations of energy market models and resource management</w:t>
            </w: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 including scenarios of transition to renewable sources and optimization of resource consumption; (3) </w:t>
            </w:r>
            <w:r w:rsidDel="00000000" w:rsidR="00000000" w:rsidRPr="00000000">
              <w:rPr>
                <w:rFonts w:ascii="Times New Roman" w:cs="Times New Roman" w:eastAsia="Times New Roman" w:hAnsi="Times New Roman"/>
                <w:b w:val="1"/>
                <w:bCs w:val="1"/>
                <w:i w:val="0"/>
                <w:iCs w:val="0"/>
                <w:smallCaps w:val="0"/>
                <w:strike w:val="0"/>
                <w:color w:val="000000"/>
                <w:sz w:val="20"/>
                <w:szCs w:val="20"/>
                <w:u w:val="none"/>
                <w:shd w:fill="auto" w:val="clear"/>
                <w:vertAlign w:val="baseline"/>
                <w:rtl w:val="0"/>
              </w:rPr>
              <w:t xml:space="preserve">analysis and evaluation of projects</w:t>
            </w: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 aimed at improving social well-being through green investments and innovative technologies; (4) </w:t>
            </w:r>
            <w:r w:rsidDel="00000000" w:rsidR="00000000" w:rsidRPr="00000000">
              <w:rPr>
                <w:rFonts w:ascii="Times New Roman" w:cs="Times New Roman" w:eastAsia="Times New Roman" w:hAnsi="Times New Roman"/>
                <w:b w:val="1"/>
                <w:bCs w:val="1"/>
                <w:i w:val="0"/>
                <w:iCs w:val="0"/>
                <w:smallCaps w:val="0"/>
                <w:strike w:val="0"/>
                <w:color w:val="000000"/>
                <w:sz w:val="20"/>
                <w:szCs w:val="20"/>
                <w:u w:val="none"/>
                <w:shd w:fill="auto" w:val="clear"/>
                <w:vertAlign w:val="baseline"/>
                <w:rtl w:val="0"/>
              </w:rPr>
              <w:t xml:space="preserve">preparation and presentation of reports</w:t>
            </w: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 on the effects of sustainable development policies on specific economic sectors and society; and (5) </w:t>
            </w:r>
            <w:r w:rsidDel="00000000" w:rsidR="00000000" w:rsidRPr="00000000">
              <w:rPr>
                <w:rFonts w:ascii="Times New Roman" w:cs="Times New Roman" w:eastAsia="Times New Roman" w:hAnsi="Times New Roman"/>
                <w:b w:val="1"/>
                <w:bCs w:val="1"/>
                <w:i w:val="0"/>
                <w:iCs w:val="0"/>
                <w:smallCaps w:val="0"/>
                <w:strike w:val="0"/>
                <w:color w:val="000000"/>
                <w:sz w:val="20"/>
                <w:szCs w:val="20"/>
                <w:u w:val="none"/>
                <w:shd w:fill="auto" w:val="clear"/>
                <w:vertAlign w:val="baseline"/>
                <w:rtl w:val="0"/>
              </w:rPr>
              <w:t xml:space="preserve">a hybrid learning approach</w:t>
            </w: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 which combines classroom work and online interactive tasks, enabling flexibility and independent research for students.</w:t>
            </w:r>
          </w:p>
          <w:p w:rsidR="00000000" w:rsidDel="00000000" w:rsidP="00000000" w:rsidRDefault="00000000" w:rsidRPr="00000000" w14:paraId="0000004A">
            <w:pPr>
              <w:keepNext w:val="0"/>
              <w:keepLines w:val="0"/>
              <w:pageBreakBefore w:val="0"/>
              <w:widowControl w:val="1"/>
              <w:pBdr>
                <w:top w:color="000000" w:space="0" w:sz="0" w:val="none"/>
                <w:left w:color="000000" w:space="0" w:sz="0" w:val="none"/>
                <w:bottom w:color="000000" w:space="0" w:sz="0" w:val="none"/>
                <w:right w:color="000000" w:space="0" w:sz="0" w:val="none"/>
                <w:between w:color="000000" w:space="0" w:sz="0" w:val="none"/>
              </w:pBdr>
              <w:shd w:fill="auto" w:val="clear"/>
              <w:spacing w:after="60" w:before="60" w:line="240" w:lineRule="auto"/>
              <w:ind w:left="0" w:right="0" w:firstLine="0"/>
              <w:jc w:val="both"/>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Practical teaching aims to enable students to develop the ability to make informed decisions, critically assess the benefits and risks of environmental policies, as well as to develop teamwork and communication skills in the context of the green economy and social well-being.</w:t>
            </w:r>
          </w:p>
        </w:tc>
      </w:tr>
      <w:tr>
        <w:trPr>
          <w:cantSplit w:val="0"/>
          <w:trHeight w:val="17" w:hRule="atLeast"/>
          <w:tblHeader w:val="0"/>
        </w:trPr>
        <w:tc>
          <w:tcPr>
            <w:gridSpan w:val="5"/>
            <w:tcBorders>
              <w:top w:color="000000" w:space="0" w:sz="4" w:val="single"/>
              <w:left w:color="000000" w:space="0" w:sz="4" w:val="single"/>
              <w:bottom w:color="000000" w:space="0" w:sz="4" w:val="single"/>
              <w:right w:color="000000" w:space="0" w:sz="4" w:val="single"/>
            </w:tcBorders>
            <w:tcMar>
              <w:top w:w="0.0" w:type="dxa"/>
              <w:left w:w="80.0" w:type="dxa"/>
              <w:bottom w:w="0.0" w:type="dxa"/>
              <w:right w:w="80.0" w:type="dxa"/>
            </w:tcMar>
            <w:vAlign w:val="center"/>
          </w:tcPr>
          <w:p w:rsidR="00000000" w:rsidDel="00000000" w:rsidP="00000000" w:rsidRDefault="00000000" w:rsidRPr="00000000" w14:paraId="0000004F">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567"/>
              </w:tabs>
              <w:spacing w:after="60" w:before="60" w:line="240" w:lineRule="auto"/>
              <w:ind w:left="0" w:right="0" w:firstLine="0"/>
              <w:jc w:val="left"/>
              <w:rPr>
                <w:rFonts w:ascii="Times New Roman" w:cs="Times New Roman" w:eastAsia="Times New Roman" w:hAnsi="Times New Roman"/>
                <w:b w:val="1"/>
                <w:bCs w:val="1"/>
                <w:i w:val="0"/>
                <w:iCs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0"/>
                <w:szCs w:val="20"/>
                <w:u w:val="none"/>
                <w:shd w:fill="auto" w:val="clear"/>
                <w:vertAlign w:val="baseline"/>
                <w:rtl w:val="0"/>
              </w:rPr>
              <w:t xml:space="preserve">Literature</w:t>
            </w:r>
          </w:p>
          <w:p w:rsidR="00000000" w:rsidDel="00000000" w:rsidP="00000000" w:rsidRDefault="00000000" w:rsidRPr="00000000" w14:paraId="00000050">
            <w:pPr>
              <w:tabs>
                <w:tab w:val="left" w:leader="none" w:pos="567"/>
              </w:tabs>
              <w:spacing w:after="60" w:before="60" w:lineRule="auto"/>
              <w:jc w:val="both"/>
              <w:rPr>
                <w:sz w:val="20"/>
                <w:szCs w:val="20"/>
              </w:rPr>
            </w:pPr>
            <w:r w:rsidDel="00000000" w:rsidR="00000000" w:rsidRPr="00000000">
              <w:rPr>
                <w:sz w:val="20"/>
                <w:szCs w:val="20"/>
                <w:rtl w:val="0"/>
              </w:rPr>
              <w:t xml:space="preserve">Acar, S., &amp; Yeldan, E. (Eds.). (2019).</w:t>
            </w:r>
            <w:r w:rsidDel="00000000" w:rsidR="00000000" w:rsidRPr="00000000">
              <w:rPr>
                <w:i w:val="1"/>
                <w:iCs w:val="1"/>
                <w:sz w:val="20"/>
                <w:szCs w:val="20"/>
                <w:rtl w:val="0"/>
              </w:rPr>
              <w:t xml:space="preserve"> Handbook of green economics (1st ed.). </w:t>
            </w:r>
            <w:r w:rsidDel="00000000" w:rsidR="00000000" w:rsidRPr="00000000">
              <w:rPr>
                <w:sz w:val="20"/>
                <w:szCs w:val="20"/>
                <w:rtl w:val="0"/>
              </w:rPr>
              <w:t xml:space="preserve">Elsevier Academic Press.</w:t>
            </w:r>
          </w:p>
          <w:p w:rsidR="00000000" w:rsidDel="00000000" w:rsidP="00000000" w:rsidRDefault="00000000" w:rsidRPr="00000000" w14:paraId="00000051">
            <w:pPr>
              <w:keepNext w:val="0"/>
              <w:keepLines w:val="0"/>
              <w:pageBreakBefore w:val="0"/>
              <w:widowControl w:val="1"/>
              <w:pBdr>
                <w:top w:color="000000" w:space="0" w:sz="0" w:val="none"/>
                <w:left w:color="000000" w:space="0" w:sz="0" w:val="none"/>
                <w:bottom w:color="000000" w:space="0" w:sz="0" w:val="none"/>
                <w:right w:color="000000" w:space="0" w:sz="0" w:val="none"/>
                <w:between w:color="000000" w:space="0" w:sz="0" w:val="none"/>
              </w:pBdr>
              <w:shd w:fill="auto" w:val="clear"/>
              <w:spacing w:after="60" w:before="60" w:line="240" w:lineRule="auto"/>
              <w:ind w:left="0" w:right="0" w:firstLine="0"/>
              <w:jc w:val="both"/>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Harris, J. M. (2009). </w:t>
            </w:r>
            <w:r w:rsidDel="00000000" w:rsidR="00000000" w:rsidRPr="00000000">
              <w:rPr>
                <w:rFonts w:ascii="Times New Roman" w:cs="Times New Roman" w:eastAsia="Times New Roman" w:hAnsi="Times New Roman"/>
                <w:b w:val="0"/>
                <w:bCs w:val="0"/>
                <w:i w:val="1"/>
                <w:iCs w:val="1"/>
                <w:smallCaps w:val="0"/>
                <w:strike w:val="0"/>
                <w:color w:val="000000"/>
                <w:sz w:val="20"/>
                <w:szCs w:val="20"/>
                <w:u w:val="none"/>
                <w:shd w:fill="auto" w:val="clear"/>
                <w:vertAlign w:val="baseline"/>
                <w:rtl w:val="0"/>
              </w:rPr>
              <w:t xml:space="preserve">Ekonomija životne sredine i prirodnih resursa – savremeni pristup (Environmental and natural resource economics: A contemporary approach).</w:t>
            </w: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 Data Status.</w:t>
            </w:r>
          </w:p>
        </w:tc>
      </w:tr>
      <w:tr>
        <w:trPr>
          <w:cantSplit w:val="0"/>
          <w:trHeight w:val="17" w:hRule="atLeast"/>
          <w:tblHeader w:val="0"/>
        </w:trPr>
        <w:tc>
          <w:tcPr>
            <w:tcBorders>
              <w:top w:color="000000" w:space="0" w:sz="4" w:val="single"/>
              <w:left w:color="000000" w:space="0" w:sz="4" w:val="single"/>
              <w:bottom w:color="000000" w:space="0" w:sz="4" w:val="single"/>
              <w:right w:color="000000" w:space="0" w:sz="4" w:val="single"/>
            </w:tcBorders>
            <w:shd w:fill="f2f2f2" w:val="clear"/>
            <w:tcMar>
              <w:top w:w="0.0" w:type="dxa"/>
              <w:left w:w="80.0" w:type="dxa"/>
              <w:bottom w:w="0.0" w:type="dxa"/>
              <w:right w:w="80.0" w:type="dxa"/>
            </w:tcMar>
            <w:vAlign w:val="center"/>
          </w:tcPr>
          <w:p w:rsidR="00000000" w:rsidDel="00000000" w:rsidP="00000000" w:rsidRDefault="00000000" w:rsidRPr="00000000" w14:paraId="00000056">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567"/>
              </w:tabs>
              <w:spacing w:after="60" w:before="60" w:line="240"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0"/>
                <w:szCs w:val="20"/>
                <w:u w:val="none"/>
                <w:shd w:fill="auto" w:val="clear"/>
                <w:vertAlign w:val="baseline"/>
                <w:rtl w:val="0"/>
              </w:rPr>
              <w:t xml:space="preserve">Contact Hours</w:t>
            </w:r>
            <w:r w:rsidDel="00000000" w:rsidR="00000000" w:rsidRPr="00000000">
              <w:rPr>
                <w:rtl w:val="0"/>
              </w:rPr>
            </w:r>
          </w:p>
        </w:tc>
        <w:tc>
          <w:tcPr>
            <w:gridSpan w:val="2"/>
            <w:tcBorders>
              <w:top w:color="000000" w:space="0" w:sz="4" w:val="single"/>
              <w:left w:color="000000" w:space="0" w:sz="4" w:val="single"/>
              <w:bottom w:color="000000" w:space="0" w:sz="4" w:val="single"/>
              <w:right w:color="000000" w:space="0" w:sz="4" w:val="single"/>
            </w:tcBorders>
            <w:shd w:fill="f2f2f2" w:val="clear"/>
            <w:tcMar>
              <w:top w:w="0.0" w:type="dxa"/>
              <w:left w:w="80.0" w:type="dxa"/>
              <w:bottom w:w="0.0" w:type="dxa"/>
              <w:right w:w="80.0" w:type="dxa"/>
            </w:tcMar>
            <w:vAlign w:val="center"/>
          </w:tcPr>
          <w:p w:rsidR="00000000" w:rsidDel="00000000" w:rsidP="00000000" w:rsidRDefault="00000000" w:rsidRPr="00000000" w14:paraId="00000057">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567"/>
              </w:tabs>
              <w:spacing w:after="60" w:before="60" w:line="240"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0"/>
                <w:szCs w:val="20"/>
                <w:u w:val="none"/>
                <w:shd w:fill="auto" w:val="clear"/>
                <w:vertAlign w:val="baseline"/>
                <w:rtl w:val="0"/>
              </w:rPr>
              <w:t xml:space="preserve">Theoretical Classes: 4</w:t>
            </w:r>
            <w:r w:rsidDel="00000000" w:rsidR="00000000" w:rsidRPr="00000000">
              <w:rPr>
                <w:rtl w:val="0"/>
              </w:rPr>
            </w:r>
          </w:p>
        </w:tc>
        <w:tc>
          <w:tcPr>
            <w:gridSpan w:val="2"/>
            <w:tcBorders>
              <w:top w:color="000000" w:space="0" w:sz="4" w:val="single"/>
              <w:left w:color="000000" w:space="0" w:sz="4" w:val="single"/>
              <w:bottom w:color="000000" w:space="0" w:sz="4" w:val="single"/>
              <w:right w:color="000000" w:space="0" w:sz="4" w:val="single"/>
            </w:tcBorders>
            <w:shd w:fill="f2f2f2" w:val="clear"/>
            <w:tcMar>
              <w:top w:w="0.0" w:type="dxa"/>
              <w:left w:w="80.0" w:type="dxa"/>
              <w:bottom w:w="0.0" w:type="dxa"/>
              <w:right w:w="80.0" w:type="dxa"/>
            </w:tcMar>
            <w:vAlign w:val="center"/>
          </w:tcPr>
          <w:p w:rsidR="00000000" w:rsidDel="00000000" w:rsidP="00000000" w:rsidRDefault="00000000" w:rsidRPr="00000000" w14:paraId="00000059">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567"/>
              </w:tabs>
              <w:spacing w:after="60" w:before="60" w:line="240"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0"/>
                <w:szCs w:val="20"/>
                <w:u w:val="none"/>
                <w:shd w:fill="auto" w:val="clear"/>
                <w:vertAlign w:val="baseline"/>
                <w:rtl w:val="0"/>
              </w:rPr>
              <w:t xml:space="preserve">Practical Classes</w:t>
            </w: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w:t>
            </w:r>
            <w:r w:rsidDel="00000000" w:rsidR="00000000" w:rsidRPr="00000000">
              <w:rPr>
                <w:rFonts w:ascii="Times New Roman" w:cs="Times New Roman" w:eastAsia="Times New Roman" w:hAnsi="Times New Roman"/>
                <w:b w:val="1"/>
                <w:bCs w:val="1"/>
                <w:i w:val="0"/>
                <w:iCs w:val="0"/>
                <w:smallCaps w:val="0"/>
                <w:strike w:val="0"/>
                <w:color w:val="000000"/>
                <w:sz w:val="20"/>
                <w:szCs w:val="20"/>
                <w:u w:val="none"/>
                <w:shd w:fill="auto" w:val="clear"/>
                <w:vertAlign w:val="baseline"/>
                <w:rtl w:val="0"/>
              </w:rPr>
              <w:t xml:space="preserve"> 1</w:t>
            </w:r>
            <w:r w:rsidDel="00000000" w:rsidR="00000000" w:rsidRPr="00000000">
              <w:rPr>
                <w:rtl w:val="0"/>
              </w:rPr>
            </w:r>
          </w:p>
        </w:tc>
      </w:tr>
      <w:tr>
        <w:trPr>
          <w:cantSplit w:val="0"/>
          <w:trHeight w:val="17" w:hRule="atLeast"/>
          <w:tblHeader w:val="0"/>
        </w:trPr>
        <w:tc>
          <w:tcPr>
            <w:gridSpan w:val="5"/>
            <w:tcBorders>
              <w:top w:color="000000" w:space="0" w:sz="4" w:val="single"/>
              <w:left w:color="000000" w:space="0" w:sz="4" w:val="single"/>
              <w:bottom w:color="000000" w:space="0" w:sz="4" w:val="single"/>
              <w:right w:color="000000" w:space="0" w:sz="4" w:val="single"/>
            </w:tcBorders>
            <w:tcMar>
              <w:top w:w="0.0" w:type="dxa"/>
              <w:left w:w="80.0" w:type="dxa"/>
              <w:bottom w:w="0.0" w:type="dxa"/>
              <w:right w:w="80.0" w:type="dxa"/>
            </w:tcMar>
            <w:vAlign w:val="center"/>
          </w:tcPr>
          <w:p w:rsidR="00000000" w:rsidDel="00000000" w:rsidP="00000000" w:rsidRDefault="00000000" w:rsidRPr="00000000" w14:paraId="0000005B">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567"/>
              </w:tabs>
              <w:spacing w:after="60" w:before="60" w:line="240"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0"/>
                <w:szCs w:val="20"/>
                <w:u w:val="none"/>
                <w:shd w:fill="auto" w:val="clear"/>
                <w:vertAlign w:val="baseline"/>
                <w:rtl w:val="0"/>
              </w:rPr>
              <w:t xml:space="preserve">Teaching Methods</w:t>
            </w:r>
            <w:r w:rsidDel="00000000" w:rsidR="00000000" w:rsidRPr="00000000">
              <w:rPr>
                <w:rtl w:val="0"/>
              </w:rPr>
            </w:r>
          </w:p>
          <w:p w:rsidR="00000000" w:rsidDel="00000000" w:rsidP="00000000" w:rsidRDefault="00000000" w:rsidRPr="00000000" w14:paraId="0000005C">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567"/>
              </w:tabs>
              <w:spacing w:after="60" w:before="60" w:line="240" w:lineRule="auto"/>
              <w:ind w:left="0" w:right="0" w:firstLine="0"/>
              <w:jc w:val="both"/>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Teaching in this course is carried out through the application of several complementary methods, which serve the achievement of the defined course learning outcomes (О1–О5).</w:t>
            </w:r>
          </w:p>
          <w:p w:rsidR="00000000" w:rsidDel="00000000" w:rsidP="00000000" w:rsidRDefault="00000000" w:rsidRPr="00000000" w14:paraId="0000005D">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567"/>
              </w:tabs>
              <w:spacing w:after="60" w:before="60" w:line="240" w:lineRule="auto"/>
              <w:ind w:left="0" w:right="0" w:firstLine="0"/>
              <w:jc w:val="both"/>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0"/>
                <w:szCs w:val="20"/>
                <w:u w:val="none"/>
                <w:shd w:fill="auto" w:val="clear"/>
                <w:vertAlign w:val="baseline"/>
                <w:rtl w:val="0"/>
              </w:rPr>
              <w:t xml:space="preserve">The monologic method</w:t>
            </w: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 </w:t>
            </w:r>
            <w:r w:rsidDel="00000000" w:rsidR="00000000" w:rsidRPr="00000000">
              <w:rPr>
                <w:rFonts w:ascii="Times New Roman" w:cs="Times New Roman" w:eastAsia="Times New Roman" w:hAnsi="Times New Roman"/>
                <w:b w:val="1"/>
                <w:bCs w:val="1"/>
                <w:i w:val="0"/>
                <w:iCs w:val="0"/>
                <w:smallCaps w:val="0"/>
                <w:strike w:val="0"/>
                <w:color w:val="000000"/>
                <w:sz w:val="20"/>
                <w:szCs w:val="20"/>
                <w:u w:val="none"/>
                <w:shd w:fill="auto" w:val="clear"/>
                <w:vertAlign w:val="baseline"/>
                <w:rtl w:val="0"/>
              </w:rPr>
              <w:t xml:space="preserve">(M1)</w:t>
            </w: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 is applied through ex cathedra lectures and is aimed at acquiring theoretical knowledge, thereby directly contributing to the achievement of outcome О1. Through the systematic presentation of key concepts of the green economy, sustainable development, and environmental policy, students are provided with a foundation for understanding the subject matter.</w:t>
            </w:r>
          </w:p>
          <w:p w:rsidR="00000000" w:rsidDel="00000000" w:rsidP="00000000" w:rsidRDefault="00000000" w:rsidRPr="00000000" w14:paraId="0000005E">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567"/>
              </w:tabs>
              <w:spacing w:after="60" w:before="60" w:line="240" w:lineRule="auto"/>
              <w:ind w:left="0" w:right="0" w:firstLine="0"/>
              <w:jc w:val="both"/>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0"/>
                <w:szCs w:val="20"/>
                <w:u w:val="none"/>
                <w:shd w:fill="auto" w:val="clear"/>
                <w:vertAlign w:val="baseline"/>
                <w:rtl w:val="0"/>
              </w:rPr>
              <w:t xml:space="preserve">The dialogic method</w:t>
            </w: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 </w:t>
            </w:r>
            <w:r w:rsidDel="00000000" w:rsidR="00000000" w:rsidRPr="00000000">
              <w:rPr>
                <w:rFonts w:ascii="Times New Roman" w:cs="Times New Roman" w:eastAsia="Times New Roman" w:hAnsi="Times New Roman"/>
                <w:b w:val="1"/>
                <w:bCs w:val="1"/>
                <w:i w:val="0"/>
                <w:iCs w:val="0"/>
                <w:smallCaps w:val="0"/>
                <w:strike w:val="0"/>
                <w:color w:val="000000"/>
                <w:sz w:val="20"/>
                <w:szCs w:val="20"/>
                <w:u w:val="none"/>
                <w:shd w:fill="auto" w:val="clear"/>
                <w:vertAlign w:val="baseline"/>
                <w:rtl w:val="0"/>
              </w:rPr>
              <w:t xml:space="preserve">(M2)</w:t>
            </w: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 is used through discussions and interactive work with students, encouraging critical thinking and well-argued expression of views. This method serves the achievement of outcomes О3 and О4, as it enables students to analyse different aspects of the green economy and participate in professional discussions.</w:t>
            </w:r>
          </w:p>
          <w:p w:rsidR="00000000" w:rsidDel="00000000" w:rsidP="00000000" w:rsidRDefault="00000000" w:rsidRPr="00000000" w14:paraId="0000005F">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567"/>
              </w:tabs>
              <w:spacing w:after="60" w:before="60" w:line="240" w:lineRule="auto"/>
              <w:ind w:left="0" w:right="0" w:firstLine="0"/>
              <w:jc w:val="both"/>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0"/>
                <w:szCs w:val="20"/>
                <w:u w:val="none"/>
                <w:shd w:fill="auto" w:val="clear"/>
                <w:vertAlign w:val="baseline"/>
                <w:rtl w:val="0"/>
              </w:rPr>
              <w:t xml:space="preserve">The demonstration method</w:t>
            </w: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 </w:t>
            </w:r>
            <w:r w:rsidDel="00000000" w:rsidR="00000000" w:rsidRPr="00000000">
              <w:rPr>
                <w:rFonts w:ascii="Times New Roman" w:cs="Times New Roman" w:eastAsia="Times New Roman" w:hAnsi="Times New Roman"/>
                <w:b w:val="1"/>
                <w:bCs w:val="1"/>
                <w:i w:val="0"/>
                <w:iCs w:val="0"/>
                <w:smallCaps w:val="0"/>
                <w:strike w:val="0"/>
                <w:color w:val="000000"/>
                <w:sz w:val="20"/>
                <w:szCs w:val="20"/>
                <w:u w:val="none"/>
                <w:shd w:fill="auto" w:val="clear"/>
                <w:vertAlign w:val="baseline"/>
                <w:rtl w:val="0"/>
              </w:rPr>
              <w:t xml:space="preserve">(M3)</w:t>
            </w: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 involves the use of presentations, graphical representations, and data analysis, thereby linking theoretical knowledge with practical examples. This method contributes to the achievement of outcomes О1 and О2, as it enables students to better understand and interpret economic and environmental processes.</w:t>
            </w:r>
          </w:p>
          <w:p w:rsidR="00000000" w:rsidDel="00000000" w:rsidP="00000000" w:rsidRDefault="00000000" w:rsidRPr="00000000" w14:paraId="00000060">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567"/>
              </w:tabs>
              <w:spacing w:after="60" w:before="60" w:line="240" w:lineRule="auto"/>
              <w:ind w:left="0" w:right="0" w:firstLine="0"/>
              <w:jc w:val="both"/>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0"/>
                <w:szCs w:val="20"/>
                <w:u w:val="none"/>
                <w:shd w:fill="auto" w:val="clear"/>
                <w:vertAlign w:val="baseline"/>
                <w:rtl w:val="0"/>
              </w:rPr>
              <w:t xml:space="preserve">The research method (M4)</w:t>
            </w: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 is implemented through the preparation of individual research assignments. This method is key to achieving outcomes O2, O4 and O5, as it enables students to apply learned concepts, develop analytical skills, and independently explore issues in the field of the green economy.</w:t>
            </w:r>
          </w:p>
          <w:p w:rsidR="00000000" w:rsidDel="00000000" w:rsidP="00000000" w:rsidRDefault="00000000" w:rsidRPr="00000000" w14:paraId="00000061">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567"/>
              </w:tabs>
              <w:spacing w:after="60" w:before="60" w:line="240" w:lineRule="auto"/>
              <w:ind w:left="0" w:right="0" w:firstLine="0"/>
              <w:jc w:val="both"/>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0"/>
                <w:szCs w:val="20"/>
                <w:u w:val="none"/>
                <w:shd w:fill="auto" w:val="clear"/>
                <w:vertAlign w:val="baseline"/>
                <w:rtl w:val="0"/>
              </w:rPr>
              <w:t xml:space="preserve">The case study method</w:t>
            </w: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 </w:t>
            </w:r>
            <w:r w:rsidDel="00000000" w:rsidR="00000000" w:rsidRPr="00000000">
              <w:rPr>
                <w:rFonts w:ascii="Times New Roman" w:cs="Times New Roman" w:eastAsia="Times New Roman" w:hAnsi="Times New Roman"/>
                <w:b w:val="1"/>
                <w:bCs w:val="1"/>
                <w:i w:val="0"/>
                <w:iCs w:val="0"/>
                <w:smallCaps w:val="0"/>
                <w:strike w:val="0"/>
                <w:color w:val="000000"/>
                <w:sz w:val="20"/>
                <w:szCs w:val="20"/>
                <w:u w:val="none"/>
                <w:shd w:fill="auto" w:val="clear"/>
                <w:vertAlign w:val="baseline"/>
                <w:rtl w:val="0"/>
              </w:rPr>
              <w:t xml:space="preserve">(M5)</w:t>
            </w: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 is based on the analysis of concrete real-world examples, such as green transition policies, resource management, and the development of markets for green products. This method contributes to the achievement of outcomes О2, О3 and О5, as it enables students to connect theoretical knowledge with real situations and develop the ability to critically assess problems.</w:t>
            </w:r>
          </w:p>
          <w:p w:rsidR="00000000" w:rsidDel="00000000" w:rsidP="00000000" w:rsidRDefault="00000000" w:rsidRPr="00000000" w14:paraId="00000062">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567"/>
              </w:tabs>
              <w:spacing w:after="60" w:before="60" w:line="240" w:lineRule="auto"/>
              <w:ind w:left="0" w:right="0" w:firstLine="0"/>
              <w:jc w:val="center"/>
              <w:rPr>
                <w:rFonts w:ascii="Times New Roman" w:cs="Times New Roman" w:eastAsia="Times New Roman" w:hAnsi="Times New Roman"/>
                <w:b w:val="0"/>
                <w:bCs w:val="0"/>
                <w:i w:val="1"/>
                <w:iCs w:val="1"/>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bCs w:val="0"/>
                <w:i w:val="1"/>
                <w:iCs w:val="1"/>
                <w:smallCaps w:val="0"/>
                <w:strike w:val="0"/>
                <w:color w:val="000000"/>
                <w:sz w:val="20"/>
                <w:szCs w:val="20"/>
                <w:u w:val="none"/>
                <w:shd w:fill="auto" w:val="clear"/>
                <w:vertAlign w:val="baseline"/>
                <w:rtl w:val="0"/>
              </w:rPr>
              <w:t xml:space="preserve">Alignment of Learning Outcomes, Teaching Methods and Assessment Methods</w:t>
            </w:r>
          </w:p>
          <w:tbl>
            <w:tblPr>
              <w:tblStyle w:val="Table2"/>
              <w:tblW w:w="8764.0" w:type="dxa"/>
              <w:jc w:val="center"/>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4171"/>
              <w:gridCol w:w="1711"/>
              <w:gridCol w:w="2882"/>
              <w:tblGridChange w:id="0">
                <w:tblGrid>
                  <w:gridCol w:w="4171"/>
                  <w:gridCol w:w="1711"/>
                  <w:gridCol w:w="2882"/>
                </w:tblGrid>
              </w:tblGridChange>
            </w:tblGrid>
            <w:tr>
              <w:trPr>
                <w:cantSplit w:val="0"/>
                <w:tblHeader w:val="0"/>
              </w:trPr>
              <w:tc>
                <w:tcPr/>
                <w:p w:rsidR="00000000" w:rsidDel="00000000" w:rsidP="00000000" w:rsidRDefault="00000000" w:rsidRPr="00000000" w14:paraId="00000063">
                  <w:pPr>
                    <w:jc w:val="center"/>
                    <w:rPr>
                      <w:rFonts w:ascii="Times New Roman" w:cs="Times New Roman" w:eastAsia="Times New Roman" w:hAnsi="Times New Roman"/>
                      <w:b w:val="1"/>
                      <w:bCs w:val="1"/>
                      <w:sz w:val="20"/>
                      <w:szCs w:val="20"/>
                    </w:rPr>
                  </w:pPr>
                  <w:r w:rsidDel="00000000" w:rsidR="00000000" w:rsidRPr="00000000">
                    <w:rPr>
                      <w:rFonts w:ascii="Times New Roman" w:cs="Times New Roman" w:eastAsia="Times New Roman" w:hAnsi="Times New Roman"/>
                      <w:sz w:val="20"/>
                      <w:szCs w:val="20"/>
                      <w:rtl w:val="0"/>
                    </w:rPr>
                    <w:t xml:space="preserve">Outcomes</w:t>
                  </w:r>
                  <w:r w:rsidDel="00000000" w:rsidR="00000000" w:rsidRPr="00000000">
                    <w:rPr>
                      <w:rtl w:val="0"/>
                    </w:rPr>
                  </w:r>
                </w:p>
              </w:tc>
              <w:tc>
                <w:tcPr/>
                <w:p w:rsidR="00000000" w:rsidDel="00000000" w:rsidP="00000000" w:rsidRDefault="00000000" w:rsidRPr="00000000" w14:paraId="00000064">
                  <w:pPr>
                    <w:jc w:val="center"/>
                    <w:rPr>
                      <w:rFonts w:ascii="Times New Roman" w:cs="Times New Roman" w:eastAsia="Times New Roman" w:hAnsi="Times New Roman"/>
                      <w:b w:val="1"/>
                      <w:bCs w:val="1"/>
                      <w:sz w:val="20"/>
                      <w:szCs w:val="20"/>
                    </w:rPr>
                  </w:pPr>
                  <w:r w:rsidDel="00000000" w:rsidR="00000000" w:rsidRPr="00000000">
                    <w:rPr>
                      <w:rFonts w:ascii="Times New Roman" w:cs="Times New Roman" w:eastAsia="Times New Roman" w:hAnsi="Times New Roman"/>
                      <w:sz w:val="20"/>
                      <w:szCs w:val="20"/>
                      <w:rtl w:val="0"/>
                    </w:rPr>
                    <w:t xml:space="preserve">Teaching Methods</w:t>
                  </w:r>
                  <w:r w:rsidDel="00000000" w:rsidR="00000000" w:rsidRPr="00000000">
                    <w:rPr>
                      <w:rtl w:val="0"/>
                    </w:rPr>
                  </w:r>
                </w:p>
              </w:tc>
              <w:tc>
                <w:tcPr/>
                <w:p w:rsidR="00000000" w:rsidDel="00000000" w:rsidP="00000000" w:rsidRDefault="00000000" w:rsidRPr="00000000" w14:paraId="00000065">
                  <w:pPr>
                    <w:jc w:val="center"/>
                    <w:rPr>
                      <w:rFonts w:ascii="Times New Roman" w:cs="Times New Roman" w:eastAsia="Times New Roman" w:hAnsi="Times New Roman"/>
                      <w:b w:val="1"/>
                      <w:bCs w:val="1"/>
                      <w:sz w:val="20"/>
                      <w:szCs w:val="20"/>
                    </w:rPr>
                  </w:pPr>
                  <w:r w:rsidDel="00000000" w:rsidR="00000000" w:rsidRPr="00000000">
                    <w:rPr>
                      <w:rFonts w:ascii="Times New Roman" w:cs="Times New Roman" w:eastAsia="Times New Roman" w:hAnsi="Times New Roman"/>
                      <w:sz w:val="20"/>
                      <w:szCs w:val="20"/>
                      <w:rtl w:val="0"/>
                    </w:rPr>
                    <w:t xml:space="preserve">Assessment Methods</w:t>
                  </w:r>
                  <w:r w:rsidDel="00000000" w:rsidR="00000000" w:rsidRPr="00000000">
                    <w:rPr>
                      <w:rtl w:val="0"/>
                    </w:rPr>
                  </w:r>
                </w:p>
              </w:tc>
            </w:tr>
            <w:tr>
              <w:trPr>
                <w:cantSplit w:val="0"/>
                <w:tblHeader w:val="0"/>
              </w:trPr>
              <w:tc>
                <w:tcPr/>
                <w:p w:rsidR="00000000" w:rsidDel="00000000" w:rsidP="00000000" w:rsidRDefault="00000000" w:rsidRPr="00000000" w14:paraId="00000066">
                  <w:pP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О1. Knowledge and understanding</w:t>
                  </w:r>
                </w:p>
              </w:tc>
              <w:tc>
                <w:tcPr/>
                <w:p w:rsidR="00000000" w:rsidDel="00000000" w:rsidP="00000000" w:rsidRDefault="00000000" w:rsidRPr="00000000" w14:paraId="00000067">
                  <w:pP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М1, М3</w:t>
                  </w:r>
                </w:p>
              </w:tc>
              <w:tc>
                <w:tcPr/>
                <w:p w:rsidR="00000000" w:rsidDel="00000000" w:rsidP="00000000" w:rsidRDefault="00000000" w:rsidRPr="00000000" w14:paraId="00000068">
                  <w:pP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Midterm exam, in-class activities</w:t>
                  </w:r>
                </w:p>
              </w:tc>
            </w:tr>
            <w:tr>
              <w:trPr>
                <w:cantSplit w:val="0"/>
                <w:tblHeader w:val="0"/>
              </w:trPr>
              <w:tc>
                <w:tcPr/>
                <w:p w:rsidR="00000000" w:rsidDel="00000000" w:rsidP="00000000" w:rsidRDefault="00000000" w:rsidRPr="00000000" w14:paraId="00000069">
                  <w:pP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О2. Application of knowledge and understanding</w:t>
                  </w:r>
                </w:p>
              </w:tc>
              <w:tc>
                <w:tcPr/>
                <w:p w:rsidR="00000000" w:rsidDel="00000000" w:rsidP="00000000" w:rsidRDefault="00000000" w:rsidRPr="00000000" w14:paraId="0000006A">
                  <w:pP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М3, М4, М5</w:t>
                  </w:r>
                </w:p>
              </w:tc>
              <w:tc>
                <w:tcPr/>
                <w:p w:rsidR="00000000" w:rsidDel="00000000" w:rsidP="00000000" w:rsidRDefault="00000000" w:rsidRPr="00000000" w14:paraId="0000006B">
                  <w:pP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Midterm exam, practical classes</w:t>
                  </w:r>
                </w:p>
              </w:tc>
            </w:tr>
            <w:tr>
              <w:trPr>
                <w:cantSplit w:val="0"/>
                <w:tblHeader w:val="0"/>
              </w:trPr>
              <w:tc>
                <w:tcPr/>
                <w:p w:rsidR="00000000" w:rsidDel="00000000" w:rsidP="00000000" w:rsidRDefault="00000000" w:rsidRPr="00000000" w14:paraId="0000006C">
                  <w:pP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О3. Making judgments</w:t>
                  </w:r>
                </w:p>
              </w:tc>
              <w:tc>
                <w:tcPr/>
                <w:p w:rsidR="00000000" w:rsidDel="00000000" w:rsidP="00000000" w:rsidRDefault="00000000" w:rsidRPr="00000000" w14:paraId="0000006D">
                  <w:pP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М2, М5</w:t>
                  </w:r>
                </w:p>
              </w:tc>
              <w:tc>
                <w:tcPr/>
                <w:p w:rsidR="00000000" w:rsidDel="00000000" w:rsidP="00000000" w:rsidRDefault="00000000" w:rsidRPr="00000000" w14:paraId="0000006E">
                  <w:pP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Final exam, in-class activities</w:t>
                  </w:r>
                </w:p>
              </w:tc>
            </w:tr>
            <w:tr>
              <w:trPr>
                <w:cantSplit w:val="0"/>
                <w:tblHeader w:val="0"/>
              </w:trPr>
              <w:tc>
                <w:tcPr/>
                <w:p w:rsidR="00000000" w:rsidDel="00000000" w:rsidP="00000000" w:rsidRDefault="00000000" w:rsidRPr="00000000" w14:paraId="0000006F">
                  <w:pP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О4. Communication skills</w:t>
                  </w:r>
                </w:p>
              </w:tc>
              <w:tc>
                <w:tcPr/>
                <w:p w:rsidR="00000000" w:rsidDel="00000000" w:rsidP="00000000" w:rsidRDefault="00000000" w:rsidRPr="00000000" w14:paraId="00000070">
                  <w:pP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М2, М4</w:t>
                  </w:r>
                </w:p>
              </w:tc>
              <w:tc>
                <w:tcPr/>
                <w:p w:rsidR="00000000" w:rsidDel="00000000" w:rsidP="00000000" w:rsidRDefault="00000000" w:rsidRPr="00000000" w14:paraId="00000071">
                  <w:pP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Presentations, in-class activities</w:t>
                  </w:r>
                </w:p>
              </w:tc>
            </w:tr>
            <w:tr>
              <w:trPr>
                <w:cantSplit w:val="0"/>
                <w:tblHeader w:val="0"/>
              </w:trPr>
              <w:tc>
                <w:tcPr/>
                <w:p w:rsidR="00000000" w:rsidDel="00000000" w:rsidP="00000000" w:rsidRDefault="00000000" w:rsidRPr="00000000" w14:paraId="00000072">
                  <w:pP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О5. Learning skills</w:t>
                  </w:r>
                </w:p>
              </w:tc>
              <w:tc>
                <w:tcPr/>
                <w:p w:rsidR="00000000" w:rsidDel="00000000" w:rsidP="00000000" w:rsidRDefault="00000000" w:rsidRPr="00000000" w14:paraId="00000073">
                  <w:pP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М4, М5</w:t>
                  </w:r>
                </w:p>
              </w:tc>
              <w:tc>
                <w:tcPr/>
                <w:p w:rsidR="00000000" w:rsidDel="00000000" w:rsidP="00000000" w:rsidRDefault="00000000" w:rsidRPr="00000000" w14:paraId="00000074">
                  <w:pP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Project work, practical classes</w:t>
                  </w:r>
                </w:p>
              </w:tc>
            </w:tr>
          </w:tbl>
          <w:p w:rsidR="00000000" w:rsidDel="00000000" w:rsidP="00000000" w:rsidRDefault="00000000" w:rsidRPr="00000000" w14:paraId="00000075">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567"/>
              </w:tabs>
              <w:spacing w:after="60" w:before="60" w:line="240" w:lineRule="auto"/>
              <w:ind w:left="0" w:right="0" w:firstLine="0"/>
              <w:jc w:val="both"/>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tl w:val="0"/>
              </w:rPr>
            </w:r>
          </w:p>
        </w:tc>
      </w:tr>
      <w:tr>
        <w:trPr>
          <w:cantSplit w:val="0"/>
          <w:trHeight w:val="17" w:hRule="atLeast"/>
          <w:tblHeader w:val="0"/>
        </w:trPr>
        <w:tc>
          <w:tcPr>
            <w:gridSpan w:val="5"/>
            <w:tcBorders>
              <w:top w:color="000000" w:space="0" w:sz="4" w:val="single"/>
              <w:left w:color="000000" w:space="0" w:sz="4" w:val="single"/>
              <w:bottom w:color="000000" w:space="0" w:sz="4" w:val="single"/>
              <w:right w:color="000000" w:space="0" w:sz="4" w:val="single"/>
            </w:tcBorders>
            <w:shd w:fill="f2f2f2" w:val="clear"/>
            <w:tcMar>
              <w:top w:w="0.0" w:type="dxa"/>
              <w:left w:w="80.0" w:type="dxa"/>
              <w:bottom w:w="0.0" w:type="dxa"/>
              <w:right w:w="80.0" w:type="dxa"/>
            </w:tcMar>
            <w:vAlign w:val="center"/>
          </w:tcPr>
          <w:p w:rsidR="00000000" w:rsidDel="00000000" w:rsidP="00000000" w:rsidRDefault="00000000" w:rsidRPr="00000000" w14:paraId="0000007A">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567"/>
              </w:tabs>
              <w:spacing w:after="60" w:before="60" w:line="240"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0"/>
                <w:szCs w:val="20"/>
                <w:u w:val="none"/>
                <w:shd w:fill="auto" w:val="clear"/>
                <w:vertAlign w:val="baseline"/>
                <w:rtl w:val="0"/>
              </w:rPr>
              <w:t xml:space="preserve">Assessment Methods (maximum number of points 100)</w:t>
            </w:r>
            <w:r w:rsidDel="00000000" w:rsidR="00000000" w:rsidRPr="00000000">
              <w:rPr>
                <w:rtl w:val="0"/>
              </w:rPr>
            </w:r>
          </w:p>
        </w:tc>
      </w:tr>
      <w:tr>
        <w:trPr>
          <w:cantSplit w:val="0"/>
          <w:trHeight w:val="17" w:hRule="atLeast"/>
          <w:tblHeader w:val="0"/>
        </w:trPr>
        <w:tc>
          <w:tcPr>
            <w:tcBorders>
              <w:top w:color="000000" w:space="0" w:sz="4" w:val="single"/>
              <w:left w:color="000000" w:space="0" w:sz="4" w:val="single"/>
              <w:bottom w:color="000000" w:space="0" w:sz="4" w:val="single"/>
              <w:right w:color="000000" w:space="0" w:sz="4" w:val="single"/>
            </w:tcBorders>
            <w:tcMar>
              <w:top w:w="0.0" w:type="dxa"/>
              <w:left w:w="80.0" w:type="dxa"/>
              <w:bottom w:w="0.0" w:type="dxa"/>
              <w:right w:w="80.0" w:type="dxa"/>
            </w:tcMar>
            <w:vAlign w:val="center"/>
          </w:tcPr>
          <w:p w:rsidR="00000000" w:rsidDel="00000000" w:rsidP="00000000" w:rsidRDefault="00000000" w:rsidRPr="00000000" w14:paraId="0000007F">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567"/>
              </w:tabs>
              <w:spacing w:after="60" w:before="60" w:line="240"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0"/>
                <w:szCs w:val="20"/>
                <w:u w:val="none"/>
                <w:shd w:fill="auto" w:val="clear"/>
                <w:vertAlign w:val="baseline"/>
                <w:rtl w:val="0"/>
              </w:rPr>
              <w:t xml:space="preserve">Pre-Examination Obligations</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0.0" w:type="dxa"/>
              <w:left w:w="80.0" w:type="dxa"/>
              <w:bottom w:w="0.0" w:type="dxa"/>
              <w:right w:w="80.0" w:type="dxa"/>
            </w:tcMar>
            <w:vAlign w:val="center"/>
          </w:tcPr>
          <w:p w:rsidR="00000000" w:rsidDel="00000000" w:rsidP="00000000" w:rsidRDefault="00000000" w:rsidRPr="00000000" w14:paraId="00000080">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567"/>
              </w:tabs>
              <w:spacing w:after="60" w:before="60" w:line="240"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Points</w:t>
            </w:r>
          </w:p>
        </w:tc>
        <w:tc>
          <w:tcPr>
            <w:gridSpan w:val="2"/>
            <w:tcBorders>
              <w:top w:color="000000" w:space="0" w:sz="4" w:val="single"/>
              <w:left w:color="000000" w:space="0" w:sz="4" w:val="single"/>
              <w:bottom w:color="000000" w:space="0" w:sz="4" w:val="single"/>
              <w:right w:color="000000" w:space="0" w:sz="4" w:val="single"/>
            </w:tcBorders>
            <w:tcMar>
              <w:top w:w="0.0" w:type="dxa"/>
              <w:left w:w="80.0" w:type="dxa"/>
              <w:bottom w:w="0.0" w:type="dxa"/>
              <w:right w:w="80.0" w:type="dxa"/>
            </w:tcMar>
            <w:vAlign w:val="center"/>
          </w:tcPr>
          <w:p w:rsidR="00000000" w:rsidDel="00000000" w:rsidP="00000000" w:rsidRDefault="00000000" w:rsidRPr="00000000" w14:paraId="00000081">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567"/>
              </w:tabs>
              <w:spacing w:after="60" w:before="60" w:line="240"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0"/>
                <w:szCs w:val="20"/>
                <w:u w:val="none"/>
                <w:shd w:fill="auto" w:val="clear"/>
                <w:vertAlign w:val="baseline"/>
                <w:rtl w:val="0"/>
              </w:rPr>
              <w:t xml:space="preserve">Final exam</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0.0" w:type="dxa"/>
              <w:left w:w="80.0" w:type="dxa"/>
              <w:bottom w:w="0.0" w:type="dxa"/>
              <w:right w:w="80.0" w:type="dxa"/>
            </w:tcMar>
            <w:vAlign w:val="center"/>
          </w:tcPr>
          <w:p w:rsidR="00000000" w:rsidDel="00000000" w:rsidP="00000000" w:rsidRDefault="00000000" w:rsidRPr="00000000" w14:paraId="00000083">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567"/>
              </w:tabs>
              <w:spacing w:after="60" w:before="60" w:line="240"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Points</w:t>
            </w:r>
          </w:p>
        </w:tc>
      </w:tr>
      <w:tr>
        <w:trPr>
          <w:cantSplit w:val="0"/>
          <w:trHeight w:val="17" w:hRule="atLeast"/>
          <w:tblHeader w:val="0"/>
        </w:trPr>
        <w:tc>
          <w:tcPr>
            <w:tcBorders>
              <w:top w:color="000000" w:space="0" w:sz="4" w:val="single"/>
              <w:left w:color="000000" w:space="0" w:sz="4" w:val="single"/>
              <w:bottom w:color="000000" w:space="0" w:sz="4" w:val="single"/>
              <w:right w:color="000000" w:space="0" w:sz="4" w:val="single"/>
            </w:tcBorders>
            <w:tcMar>
              <w:top w:w="0.0" w:type="dxa"/>
              <w:left w:w="80.0" w:type="dxa"/>
              <w:bottom w:w="0.0" w:type="dxa"/>
              <w:right w:w="80.0" w:type="dxa"/>
            </w:tcMar>
            <w:vAlign w:val="center"/>
          </w:tcPr>
          <w:p w:rsidR="00000000" w:rsidDel="00000000" w:rsidP="00000000" w:rsidRDefault="00000000" w:rsidRPr="00000000" w14:paraId="00000084">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567"/>
              </w:tabs>
              <w:spacing w:after="60" w:before="60" w:line="240"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Class participation</w:t>
            </w:r>
          </w:p>
        </w:tc>
        <w:tc>
          <w:tcPr>
            <w:tcBorders>
              <w:top w:color="000000" w:space="0" w:sz="4" w:val="single"/>
              <w:left w:color="000000" w:space="0" w:sz="4" w:val="single"/>
              <w:bottom w:color="000000" w:space="0" w:sz="4" w:val="single"/>
              <w:right w:color="000000" w:space="0" w:sz="4" w:val="single"/>
            </w:tcBorders>
            <w:tcMar>
              <w:top w:w="0.0" w:type="dxa"/>
              <w:left w:w="80.0" w:type="dxa"/>
              <w:bottom w:w="0.0" w:type="dxa"/>
              <w:right w:w="80.0" w:type="dxa"/>
            </w:tcMar>
            <w:vAlign w:val="center"/>
          </w:tcPr>
          <w:p w:rsidR="00000000" w:rsidDel="00000000" w:rsidP="00000000" w:rsidRDefault="00000000" w:rsidRPr="00000000" w14:paraId="00000085">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567"/>
              </w:tabs>
              <w:spacing w:after="60" w:before="60" w:line="240"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20</w:t>
            </w:r>
          </w:p>
        </w:tc>
        <w:tc>
          <w:tcPr>
            <w:gridSpan w:val="2"/>
            <w:tcBorders>
              <w:top w:color="000000" w:space="0" w:sz="4" w:val="single"/>
              <w:left w:color="000000" w:space="0" w:sz="4" w:val="single"/>
              <w:bottom w:color="000000" w:space="0" w:sz="4" w:val="single"/>
              <w:right w:color="000000" w:space="0" w:sz="4" w:val="single"/>
            </w:tcBorders>
            <w:tcMar>
              <w:top w:w="0.0" w:type="dxa"/>
              <w:left w:w="80.0" w:type="dxa"/>
              <w:bottom w:w="0.0" w:type="dxa"/>
              <w:right w:w="80.0" w:type="dxa"/>
            </w:tcMar>
            <w:vAlign w:val="center"/>
          </w:tcPr>
          <w:p w:rsidR="00000000" w:rsidDel="00000000" w:rsidP="00000000" w:rsidRDefault="00000000" w:rsidRPr="00000000" w14:paraId="00000086">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567"/>
              </w:tabs>
              <w:spacing w:after="60" w:before="60" w:line="240"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Written exam</w:t>
            </w:r>
          </w:p>
        </w:tc>
        <w:tc>
          <w:tcPr>
            <w:tcBorders>
              <w:top w:color="000000" w:space="0" w:sz="4" w:val="single"/>
              <w:left w:color="000000" w:space="0" w:sz="4" w:val="single"/>
              <w:bottom w:color="000000" w:space="0" w:sz="4" w:val="single"/>
              <w:right w:color="000000" w:space="0" w:sz="4" w:val="single"/>
            </w:tcBorders>
            <w:tcMar>
              <w:top w:w="0.0" w:type="dxa"/>
              <w:left w:w="80.0" w:type="dxa"/>
              <w:bottom w:w="0.0" w:type="dxa"/>
              <w:right w:w="80.0" w:type="dxa"/>
            </w:tcMar>
            <w:vAlign w:val="center"/>
          </w:tcPr>
          <w:p w:rsidR="00000000" w:rsidDel="00000000" w:rsidP="00000000" w:rsidRDefault="00000000" w:rsidRPr="00000000" w14:paraId="00000088">
            <w:pPr>
              <w:tabs>
                <w:tab w:val="left" w:leader="none" w:pos="567"/>
              </w:tabs>
              <w:spacing w:after="60" w:before="60" w:lineRule="auto"/>
              <w:rPr>
                <w:sz w:val="20"/>
                <w:szCs w:val="20"/>
              </w:rPr>
            </w:pPr>
            <w:r w:rsidDel="00000000" w:rsidR="00000000" w:rsidRPr="00000000">
              <w:rPr>
                <w:rtl w:val="0"/>
              </w:rPr>
            </w:r>
          </w:p>
        </w:tc>
      </w:tr>
      <w:tr>
        <w:trPr>
          <w:cantSplit w:val="0"/>
          <w:trHeight w:val="17" w:hRule="atLeast"/>
          <w:tblHeader w:val="0"/>
        </w:trPr>
        <w:tc>
          <w:tcPr>
            <w:tcBorders>
              <w:top w:color="000000" w:space="0" w:sz="4" w:val="single"/>
              <w:left w:color="000000" w:space="0" w:sz="4" w:val="single"/>
              <w:bottom w:color="000000" w:space="0" w:sz="4" w:val="single"/>
              <w:right w:color="000000" w:space="0" w:sz="4" w:val="single"/>
            </w:tcBorders>
            <w:tcMar>
              <w:top w:w="0.0" w:type="dxa"/>
              <w:left w:w="80.0" w:type="dxa"/>
              <w:bottom w:w="0.0" w:type="dxa"/>
              <w:right w:w="80.0" w:type="dxa"/>
            </w:tcMar>
            <w:vAlign w:val="center"/>
          </w:tcPr>
          <w:p w:rsidR="00000000" w:rsidDel="00000000" w:rsidP="00000000" w:rsidRDefault="00000000" w:rsidRPr="00000000" w14:paraId="00000089">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567"/>
              </w:tabs>
              <w:spacing w:after="60" w:before="60" w:line="240"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Mid-term exams</w:t>
            </w:r>
          </w:p>
        </w:tc>
        <w:tc>
          <w:tcPr>
            <w:tcBorders>
              <w:top w:color="000000" w:space="0" w:sz="4" w:val="single"/>
              <w:left w:color="000000" w:space="0" w:sz="4" w:val="single"/>
              <w:bottom w:color="000000" w:space="0" w:sz="4" w:val="single"/>
              <w:right w:color="000000" w:space="0" w:sz="4" w:val="single"/>
            </w:tcBorders>
            <w:tcMar>
              <w:top w:w="0.0" w:type="dxa"/>
              <w:left w:w="80.0" w:type="dxa"/>
              <w:bottom w:w="0.0" w:type="dxa"/>
              <w:right w:w="80.0" w:type="dxa"/>
            </w:tcMar>
            <w:vAlign w:val="center"/>
          </w:tcPr>
          <w:p w:rsidR="00000000" w:rsidDel="00000000" w:rsidP="00000000" w:rsidRDefault="00000000" w:rsidRPr="00000000" w14:paraId="0000008A">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567"/>
              </w:tabs>
              <w:spacing w:after="60" w:before="60" w:line="240"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20</w:t>
            </w:r>
          </w:p>
        </w:tc>
        <w:tc>
          <w:tcPr>
            <w:gridSpan w:val="2"/>
            <w:tcBorders>
              <w:top w:color="000000" w:space="0" w:sz="4" w:val="single"/>
              <w:left w:color="000000" w:space="0" w:sz="4" w:val="single"/>
              <w:bottom w:color="000000" w:space="0" w:sz="4" w:val="single"/>
              <w:right w:color="000000" w:space="0" w:sz="4" w:val="single"/>
            </w:tcBorders>
            <w:tcMar>
              <w:top w:w="0.0" w:type="dxa"/>
              <w:left w:w="80.0" w:type="dxa"/>
              <w:bottom w:w="0.0" w:type="dxa"/>
              <w:right w:w="80.0" w:type="dxa"/>
            </w:tcMar>
            <w:vAlign w:val="center"/>
          </w:tcPr>
          <w:p w:rsidR="00000000" w:rsidDel="00000000" w:rsidP="00000000" w:rsidRDefault="00000000" w:rsidRPr="00000000" w14:paraId="0000008B">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567"/>
              </w:tabs>
              <w:spacing w:after="60" w:before="60" w:line="240"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Oral exam</w:t>
            </w:r>
          </w:p>
        </w:tc>
        <w:tc>
          <w:tcPr>
            <w:tcBorders>
              <w:top w:color="000000" w:space="0" w:sz="4" w:val="single"/>
              <w:left w:color="000000" w:space="0" w:sz="4" w:val="single"/>
              <w:bottom w:color="000000" w:space="0" w:sz="4" w:val="single"/>
              <w:right w:color="000000" w:space="0" w:sz="4" w:val="single"/>
            </w:tcBorders>
            <w:tcMar>
              <w:top w:w="0.0" w:type="dxa"/>
              <w:left w:w="80.0" w:type="dxa"/>
              <w:bottom w:w="0.0" w:type="dxa"/>
              <w:right w:w="80.0" w:type="dxa"/>
            </w:tcMar>
            <w:vAlign w:val="center"/>
          </w:tcPr>
          <w:p w:rsidR="00000000" w:rsidDel="00000000" w:rsidP="00000000" w:rsidRDefault="00000000" w:rsidRPr="00000000" w14:paraId="0000008D">
            <w:pPr>
              <w:spacing w:after="60" w:before="60" w:lineRule="auto"/>
              <w:rPr>
                <w:sz w:val="20"/>
                <w:szCs w:val="20"/>
              </w:rPr>
            </w:pPr>
            <w:r w:rsidDel="00000000" w:rsidR="00000000" w:rsidRPr="00000000">
              <w:rPr>
                <w:sz w:val="20"/>
                <w:szCs w:val="20"/>
                <w:rtl w:val="0"/>
              </w:rPr>
              <w:t xml:space="preserve">50</w:t>
            </w:r>
          </w:p>
        </w:tc>
      </w:tr>
      <w:tr>
        <w:trPr>
          <w:cantSplit w:val="0"/>
          <w:trHeight w:val="17" w:hRule="atLeast"/>
          <w:tblHeader w:val="0"/>
        </w:trPr>
        <w:tc>
          <w:tcPr>
            <w:tcBorders>
              <w:top w:color="000000" w:space="0" w:sz="4" w:val="single"/>
              <w:left w:color="000000" w:space="0" w:sz="4" w:val="single"/>
              <w:bottom w:color="000000" w:space="0" w:sz="4" w:val="single"/>
              <w:right w:color="000000" w:space="0" w:sz="4" w:val="single"/>
            </w:tcBorders>
            <w:tcMar>
              <w:top w:w="0.0" w:type="dxa"/>
              <w:left w:w="80.0" w:type="dxa"/>
              <w:bottom w:w="0.0" w:type="dxa"/>
              <w:right w:w="80.0" w:type="dxa"/>
            </w:tcMar>
            <w:vAlign w:val="center"/>
          </w:tcPr>
          <w:p w:rsidR="00000000" w:rsidDel="00000000" w:rsidP="00000000" w:rsidRDefault="00000000" w:rsidRPr="00000000" w14:paraId="0000008E">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567"/>
              </w:tabs>
              <w:spacing w:after="60" w:before="60" w:line="240"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Term papers </w:t>
            </w:r>
          </w:p>
        </w:tc>
        <w:tc>
          <w:tcPr>
            <w:tcBorders>
              <w:top w:color="000000" w:space="0" w:sz="4" w:val="single"/>
              <w:left w:color="000000" w:space="0" w:sz="4" w:val="single"/>
              <w:bottom w:color="000000" w:space="0" w:sz="4" w:val="single"/>
              <w:right w:color="000000" w:space="0" w:sz="4" w:val="single"/>
            </w:tcBorders>
            <w:tcMar>
              <w:top w:w="0.0" w:type="dxa"/>
              <w:left w:w="80.0" w:type="dxa"/>
              <w:bottom w:w="0.0" w:type="dxa"/>
              <w:right w:w="80.0" w:type="dxa"/>
            </w:tcMar>
            <w:vAlign w:val="center"/>
          </w:tcPr>
          <w:p w:rsidR="00000000" w:rsidDel="00000000" w:rsidP="00000000" w:rsidRDefault="00000000" w:rsidRPr="00000000" w14:paraId="0000008F">
            <w:pPr>
              <w:tabs>
                <w:tab w:val="left" w:leader="none" w:pos="567"/>
              </w:tabs>
              <w:spacing w:after="60" w:before="60" w:lineRule="auto"/>
              <w:rPr>
                <w:sz w:val="20"/>
                <w:szCs w:val="20"/>
              </w:rPr>
            </w:pPr>
            <w:r w:rsidDel="00000000" w:rsidR="00000000" w:rsidRPr="00000000">
              <w:rPr>
                <w:sz w:val="20"/>
                <w:szCs w:val="20"/>
                <w:rtl w:val="0"/>
              </w:rPr>
              <w:t xml:space="preserve">10</w:t>
            </w:r>
          </w:p>
        </w:tc>
        <w:tc>
          <w:tcPr>
            <w:gridSpan w:val="2"/>
            <w:tcBorders>
              <w:top w:color="000000" w:space="0" w:sz="4" w:val="single"/>
              <w:left w:color="000000" w:space="0" w:sz="4" w:val="single"/>
              <w:bottom w:color="000000" w:space="0" w:sz="4" w:val="single"/>
              <w:right w:color="000000" w:space="0" w:sz="4" w:val="single"/>
            </w:tcBorders>
            <w:tcMar>
              <w:top w:w="0.0" w:type="dxa"/>
              <w:left w:w="80.0" w:type="dxa"/>
              <w:bottom w:w="0.0" w:type="dxa"/>
              <w:right w:w="80.0" w:type="dxa"/>
            </w:tcMar>
            <w:vAlign w:val="center"/>
          </w:tcPr>
          <w:p w:rsidR="00000000" w:rsidDel="00000000" w:rsidP="00000000" w:rsidRDefault="00000000" w:rsidRPr="00000000" w14:paraId="00000090">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567"/>
              </w:tabs>
              <w:spacing w:after="60" w:before="60" w:line="240"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0.0" w:type="dxa"/>
              <w:left w:w="80.0" w:type="dxa"/>
              <w:bottom w:w="0.0" w:type="dxa"/>
              <w:right w:w="80.0" w:type="dxa"/>
            </w:tcMar>
            <w:vAlign w:val="center"/>
          </w:tcPr>
          <w:p w:rsidR="00000000" w:rsidDel="00000000" w:rsidP="00000000" w:rsidRDefault="00000000" w:rsidRPr="00000000" w14:paraId="00000092">
            <w:pPr>
              <w:spacing w:after="60" w:before="60" w:lineRule="auto"/>
              <w:rPr>
                <w:sz w:val="20"/>
                <w:szCs w:val="20"/>
              </w:rPr>
            </w:pPr>
            <w:r w:rsidDel="00000000" w:rsidR="00000000" w:rsidRPr="00000000">
              <w:rPr>
                <w:rtl w:val="0"/>
              </w:rPr>
            </w:r>
          </w:p>
        </w:tc>
      </w:tr>
    </w:tbl>
    <w:p w:rsidR="00000000" w:rsidDel="00000000" w:rsidP="00000000" w:rsidRDefault="00000000" w:rsidRPr="00000000" w14:paraId="0000009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tl w:val="0"/>
        </w:rPr>
      </w:r>
    </w:p>
    <w:sectPr>
      <w:pgSz w:h="16840" w:w="11900" w:orient="portrait"/>
      <w:pgMar w:bottom="720" w:top="720" w:left="720" w:right="720" w:header="706" w:footer="706"/>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Georgia"/>
  <w:font w:name="Times New Roman"/>
  <w:font w:name="Calibri"/>
  <w:font w:name="Helvetica Neue">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decimal"/>
      <w:lvlText w:val="%1."/>
      <w:lvlJc w:val="left"/>
      <w:pPr>
        <w:ind w:left="720" w:hanging="360"/>
      </w:pPr>
      <w:rPr>
        <w:rFonts w:ascii="Times New Roman" w:cs="Times New Roman" w:eastAsia="Times New Roman" w:hAnsi="Times New Roman"/>
        <w:i w:val="0"/>
        <w:iCs w:val="0"/>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sz w:val="24"/>
        <w:szCs w:val="24"/>
        <w:lang w:val="en"/>
      </w:rPr>
    </w:rPrDefault>
    <w:pPrDefault>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80" w:lineRule="auto"/>
    </w:pPr>
    <w:rPr>
      <w:b w:val="1"/>
      <w:bCs w:val="1"/>
      <w:sz w:val="48"/>
      <w:szCs w:val="48"/>
    </w:rPr>
  </w:style>
  <w:style w:type="paragraph" w:styleId="Heading2">
    <w:name w:val="heading 2"/>
    <w:basedOn w:val="Normal"/>
    <w:next w:val="Normal"/>
    <w:pPr>
      <w:keepNext w:val="1"/>
      <w:keepLines w:val="1"/>
      <w:pageBreakBefore w:val="0"/>
      <w:spacing w:after="80" w:before="360" w:lineRule="auto"/>
    </w:pPr>
    <w:rPr>
      <w:b w:val="1"/>
      <w:bCs w:val="1"/>
      <w:sz w:val="36"/>
      <w:szCs w:val="36"/>
    </w:rPr>
  </w:style>
  <w:style w:type="paragraph" w:styleId="Heading3">
    <w:name w:val="heading 3"/>
    <w:basedOn w:val="Normal"/>
    <w:next w:val="Normal"/>
    <w:pPr>
      <w:keepNext w:val="1"/>
      <w:keepLines w:val="1"/>
      <w:pageBreakBefore w:val="0"/>
      <w:spacing w:after="80" w:before="280" w:lineRule="auto"/>
    </w:pPr>
    <w:rPr>
      <w:b w:val="1"/>
      <w:bCs w:val="1"/>
      <w:sz w:val="28"/>
      <w:szCs w:val="28"/>
    </w:rPr>
  </w:style>
  <w:style w:type="paragraph" w:styleId="Heading4">
    <w:name w:val="heading 4"/>
    <w:basedOn w:val="Normal"/>
    <w:next w:val="Normal"/>
    <w:pPr>
      <w:keepNext w:val="1"/>
      <w:keepLines w:val="1"/>
      <w:pageBreakBefore w:val="0"/>
      <w:spacing w:after="40" w:before="240" w:lineRule="auto"/>
    </w:pPr>
    <w:rPr>
      <w:b w:val="1"/>
      <w:bCs w:val="1"/>
      <w:sz w:val="24"/>
      <w:szCs w:val="24"/>
    </w:rPr>
  </w:style>
  <w:style w:type="paragraph" w:styleId="Heading5">
    <w:name w:val="heading 5"/>
    <w:basedOn w:val="Normal"/>
    <w:next w:val="Normal"/>
    <w:pPr>
      <w:keepNext w:val="1"/>
      <w:keepLines w:val="1"/>
      <w:pageBreakBefore w:val="0"/>
      <w:spacing w:after="40" w:before="220" w:lineRule="auto"/>
    </w:pPr>
    <w:rPr>
      <w:b w:val="1"/>
      <w:bCs w:val="1"/>
      <w:sz w:val="22"/>
      <w:szCs w:val="22"/>
    </w:rPr>
  </w:style>
  <w:style w:type="paragraph" w:styleId="Heading6">
    <w:name w:val="heading 6"/>
    <w:basedOn w:val="Normal"/>
    <w:next w:val="Normal"/>
    <w:pPr>
      <w:keepNext w:val="1"/>
      <w:keepLines w:val="1"/>
      <w:pageBreakBefore w:val="0"/>
      <w:spacing w:after="40" w:before="200" w:lineRule="auto"/>
    </w:pPr>
    <w:rPr>
      <w:b w:val="1"/>
      <w:bCs w:val="1"/>
      <w:sz w:val="20"/>
      <w:szCs w:val="20"/>
    </w:rPr>
  </w:style>
  <w:style w:type="paragraph" w:styleId="Title">
    <w:name w:val="Title"/>
    <w:basedOn w:val="Normal"/>
    <w:next w:val="Normal"/>
    <w:pPr>
      <w:keepNext w:val="1"/>
      <w:keepLines w:val="1"/>
      <w:pageBreakBefore w:val="0"/>
      <w:spacing w:after="120" w:before="480" w:lineRule="auto"/>
    </w:pPr>
    <w:rPr>
      <w:b w:val="1"/>
      <w:bCs w:val="1"/>
      <w:sz w:val="72"/>
      <w:szCs w:val="72"/>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iCs w:val="1"/>
      <w:color w:val="666666"/>
      <w:sz w:val="48"/>
      <w:szCs w:val="48"/>
    </w:rPr>
  </w:style>
  <w:style w:type="table" w:styleId="Table1">
    <w:basedOn w:val="TableNormal"/>
    <w:tblPr>
      <w:tblStyleRowBandSize w:val="1"/>
      <w:tblStyleColBandSize w:val="1"/>
      <w:tblCellMar>
        <w:top w:w="0.0" w:type="dxa"/>
        <w:left w:w="115.0" w:type="dxa"/>
        <w:bottom w:w="0.0" w:type="dxa"/>
        <w:right w:w="115.0" w:type="dxa"/>
      </w:tblCellMar>
    </w:tblPr>
  </w:style>
  <w:style w:type="table" w:styleId="Table2">
    <w:basedOn w:val="TableNormal"/>
    <w:pPr>
      <w:pBdr>
        <w:top w:color="000000" w:space="0" w:sz="0" w:val="none"/>
        <w:left w:color="000000" w:space="0" w:sz="0" w:val="none"/>
        <w:bottom w:color="000000" w:space="0" w:sz="0" w:val="none"/>
        <w:right w:color="000000" w:space="0" w:sz="0" w:val="none"/>
        <w:between w:color="000000" w:space="0" w:sz="0" w:val="none"/>
      </w:pBdr>
    </w:pPr>
    <w:rPr>
      <w:rFonts w:ascii="Helvetica Neue" w:cs="Helvetica Neue" w:eastAsia="Helvetica Neue" w:hAnsi="Helvetica Neue"/>
      <w:sz w:val="22"/>
      <w:szCs w:val="22"/>
    </w:rPr>
    <w:tblPr>
      <w:tblStyleRowBandSize w:val="1"/>
      <w:tblStyleColBandSize w:val="1"/>
      <w:tblCellMar>
        <w:top w:w="0.0" w:type="dxa"/>
        <w:left w:w="108.0" w:type="dxa"/>
        <w:bottom w:w="0.0" w:type="dxa"/>
        <w:right w:w="108.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customXml" Target="../customXML/item1.xml"/></Relationships>
</file>

<file path=word/_rels/fontTable.xml.rels><?xml version="1.0" encoding="UTF-8" standalone="yes"?><Relationships xmlns="http://schemas.openxmlformats.org/package/2006/relationships"><Relationship Id="rId1" Type="http://schemas.openxmlformats.org/officeDocument/2006/relationships/font" Target="fonts/HelveticaNeue-regular.ttf"/><Relationship Id="rId2" Type="http://schemas.openxmlformats.org/officeDocument/2006/relationships/font" Target="fonts/HelveticaNeue-bold.ttf"/><Relationship Id="rId3" Type="http://schemas.openxmlformats.org/officeDocument/2006/relationships/font" Target="fonts/HelveticaNeue-italic.ttf"/><Relationship Id="rId4" Type="http://schemas.openxmlformats.org/officeDocument/2006/relationships/font" Target="fonts/HelveticaNeue-boldItalic.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kln7WaqaA0PGTEjuaJdNknlu8wQ==">CgMxLjAyDmguYXNvZG55N24ya3U4OAByITFrdERlZFY4ZU9ndF9fRkI0QWFtb1JfaFFHMUN1SzNQRA==</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